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8138" w14:textId="1FE7FE71" w:rsidR="003C1CD1" w:rsidRPr="005E2984" w:rsidRDefault="003C1CD1" w:rsidP="00B86402">
      <w:pPr>
        <w:pStyle w:val="3GPPHeader"/>
        <w:spacing w:after="60"/>
        <w:rPr>
          <w:sz w:val="32"/>
          <w:szCs w:val="32"/>
        </w:rPr>
      </w:pPr>
      <w:r w:rsidRPr="005E2984">
        <w:t>3GPP TSG-RAN WG1 Meeting #10</w:t>
      </w:r>
      <w:r w:rsidR="005E2984">
        <w:t>8</w:t>
      </w:r>
      <w:r w:rsidRPr="005E2984">
        <w:t>-e</w:t>
      </w:r>
      <w:r w:rsidRPr="005E2984">
        <w:tab/>
      </w:r>
      <w:r w:rsidRPr="005E2984">
        <w:rPr>
          <w:sz w:val="32"/>
          <w:szCs w:val="32"/>
        </w:rPr>
        <w:t>R1-</w:t>
      </w:r>
      <w:r w:rsidR="00880F82" w:rsidRPr="005E2984">
        <w:rPr>
          <w:sz w:val="32"/>
          <w:szCs w:val="32"/>
        </w:rPr>
        <w:t>2</w:t>
      </w:r>
      <w:r w:rsidR="005E2984">
        <w:rPr>
          <w:sz w:val="32"/>
          <w:szCs w:val="32"/>
        </w:rPr>
        <w:t>201669</w:t>
      </w:r>
    </w:p>
    <w:p w14:paraId="6669546C" w14:textId="77777777" w:rsidR="00A73AAB" w:rsidRPr="00CE0424" w:rsidRDefault="00A73AAB" w:rsidP="00A73AAB">
      <w:pPr>
        <w:pStyle w:val="3GPPHeader"/>
      </w:pPr>
      <w:r w:rsidRPr="004B5701">
        <w:t xml:space="preserve">e-Meeting, </w:t>
      </w:r>
      <w:r>
        <w:t>21</w:t>
      </w:r>
      <w:r>
        <w:rPr>
          <w:vertAlign w:val="superscript"/>
        </w:rPr>
        <w:t>st</w:t>
      </w:r>
      <w:r w:rsidRPr="000C1E12">
        <w:t xml:space="preserve"> </w:t>
      </w:r>
      <w:r>
        <w:t xml:space="preserve">February </w:t>
      </w:r>
      <w:r w:rsidRPr="000C1E12">
        <w:t xml:space="preserve">– </w:t>
      </w:r>
      <w:r>
        <w:t>3</w:t>
      </w:r>
      <w:r w:rsidRPr="00C532D7">
        <w:rPr>
          <w:vertAlign w:val="superscript"/>
        </w:rPr>
        <w:t>rd</w:t>
      </w:r>
      <w:r w:rsidRPr="000C1E12">
        <w:t xml:space="preserve"> </w:t>
      </w:r>
      <w:r>
        <w:t>March</w:t>
      </w:r>
      <w:r w:rsidRPr="000C1E12">
        <w:t xml:space="preserve"> 202</w:t>
      </w:r>
      <w:r>
        <w:t>2</w:t>
      </w:r>
    </w:p>
    <w:p w14:paraId="3086AC07" w14:textId="77777777" w:rsidR="00E90E49" w:rsidRPr="005E2984" w:rsidRDefault="00E90E49" w:rsidP="00B86402">
      <w:pPr>
        <w:pStyle w:val="3GPPHeader"/>
      </w:pPr>
    </w:p>
    <w:p w14:paraId="3982483C" w14:textId="549AF91F" w:rsidR="00E90E49" w:rsidRPr="00BA48B0" w:rsidRDefault="00E90E49" w:rsidP="00B86402">
      <w:pPr>
        <w:pStyle w:val="3GPPHeader"/>
        <w:rPr>
          <w:sz w:val="22"/>
        </w:rPr>
      </w:pPr>
      <w:r w:rsidRPr="005E2984">
        <w:rPr>
          <w:sz w:val="22"/>
        </w:rPr>
        <w:t>Agenda Item:</w:t>
      </w:r>
      <w:r w:rsidRPr="005E2984">
        <w:rPr>
          <w:sz w:val="22"/>
        </w:rPr>
        <w:tab/>
      </w:r>
      <w:r w:rsidR="00633732" w:rsidRPr="005E2984">
        <w:rPr>
          <w:rFonts w:eastAsia="Times New Roman"/>
          <w:sz w:val="22"/>
          <w:szCs w:val="20"/>
        </w:rPr>
        <w:t>8.6.1.</w:t>
      </w:r>
      <w:r w:rsidR="00AE1F35" w:rsidRPr="005E2984">
        <w:rPr>
          <w:rFonts w:eastAsia="Times New Roman"/>
          <w:sz w:val="22"/>
          <w:szCs w:val="20"/>
        </w:rPr>
        <w:t>2</w:t>
      </w:r>
    </w:p>
    <w:p w14:paraId="5619E868" w14:textId="77777777" w:rsidR="00E90E49" w:rsidRPr="00BA48B0" w:rsidRDefault="003D3C45" w:rsidP="00B86402">
      <w:pPr>
        <w:pStyle w:val="3GPPHeader"/>
        <w:rPr>
          <w:sz w:val="22"/>
        </w:rPr>
      </w:pPr>
      <w:r w:rsidRPr="00BA48B0">
        <w:rPr>
          <w:sz w:val="22"/>
        </w:rPr>
        <w:t>Source:</w:t>
      </w:r>
      <w:r w:rsidR="00E90E49" w:rsidRPr="00BA48B0">
        <w:rPr>
          <w:sz w:val="22"/>
        </w:rPr>
        <w:tab/>
      </w:r>
      <w:r w:rsidR="00F64C2B" w:rsidRPr="00BA48B0">
        <w:rPr>
          <w:sz w:val="22"/>
        </w:rPr>
        <w:t>Ericsson</w:t>
      </w:r>
    </w:p>
    <w:p w14:paraId="783D70B4" w14:textId="676FCBD3" w:rsidR="00633732" w:rsidRPr="00BA48B0" w:rsidRDefault="003D3C45" w:rsidP="00B86402">
      <w:pPr>
        <w:pStyle w:val="3GPPHeader"/>
        <w:rPr>
          <w:sz w:val="22"/>
        </w:rPr>
      </w:pPr>
      <w:r w:rsidRPr="00BA48B0">
        <w:rPr>
          <w:sz w:val="22"/>
        </w:rPr>
        <w:t>Title:</w:t>
      </w:r>
      <w:r w:rsidR="00E90E49" w:rsidRPr="00BA48B0">
        <w:rPr>
          <w:sz w:val="22"/>
        </w:rPr>
        <w:tab/>
      </w:r>
      <w:r w:rsidR="005E2984">
        <w:rPr>
          <w:sz w:val="22"/>
        </w:rPr>
        <w:t>Other UE complexity reduction aspects</w:t>
      </w:r>
      <w:r w:rsidR="00761EBB" w:rsidRPr="00761EBB">
        <w:rPr>
          <w:sz w:val="22"/>
        </w:rPr>
        <w:t xml:space="preserve"> for RedCap</w:t>
      </w:r>
    </w:p>
    <w:p w14:paraId="5EEE0E0D" w14:textId="4EB78DF1" w:rsidR="00633732" w:rsidRPr="00AA1454" w:rsidRDefault="00E90E49" w:rsidP="00B86402">
      <w:pPr>
        <w:pStyle w:val="3GPPHeader"/>
        <w:rPr>
          <w:sz w:val="22"/>
        </w:rPr>
      </w:pPr>
      <w:r w:rsidRPr="00BA48B0">
        <w:rPr>
          <w:sz w:val="22"/>
        </w:rPr>
        <w:t>Document for:</w:t>
      </w:r>
      <w:r w:rsidRPr="00BA48B0">
        <w:rPr>
          <w:sz w:val="22"/>
        </w:rPr>
        <w:tab/>
        <w:t>Discussion, Decision</w:t>
      </w:r>
    </w:p>
    <w:p w14:paraId="5F70F9F3" w14:textId="16200755" w:rsidR="00F54355" w:rsidRPr="00AA1454" w:rsidRDefault="00633732" w:rsidP="00B86402">
      <w:pPr>
        <w:pStyle w:val="Heading1"/>
        <w:jc w:val="both"/>
        <w:rPr>
          <w:lang w:val="en-US"/>
        </w:rPr>
      </w:pPr>
      <w:r w:rsidRPr="00AA1454">
        <w:rPr>
          <w:lang w:val="en-US"/>
        </w:rPr>
        <w:t>1</w:t>
      </w:r>
      <w:r w:rsidR="00F54355" w:rsidRPr="00AA1454">
        <w:rPr>
          <w:lang w:val="en-US"/>
        </w:rPr>
        <w:tab/>
      </w:r>
      <w:r w:rsidRPr="00AA1454">
        <w:rPr>
          <w:lang w:val="en-US"/>
        </w:rPr>
        <w:t>Introduction</w:t>
      </w:r>
    </w:p>
    <w:p w14:paraId="4512B23E" w14:textId="5B1CA044" w:rsidR="009F2ADF" w:rsidRPr="009E3D8B" w:rsidRDefault="00EE73B8" w:rsidP="00B86402">
      <w:pPr>
        <w:jc w:val="both"/>
      </w:pPr>
      <w:r>
        <w:rPr>
          <w:lang w:val="en-GB" w:eastAsia="ja-JP"/>
        </w:rPr>
        <w:t xml:space="preserve">In this contribution, we </w:t>
      </w:r>
      <w:r>
        <w:t xml:space="preserve">discuss the remaining open issues </w:t>
      </w:r>
      <w:r w:rsidR="009E3D8B">
        <w:t>for</w:t>
      </w:r>
      <w:r w:rsidR="009F2ADF">
        <w:t xml:space="preserve"> the </w:t>
      </w:r>
      <w:r w:rsidR="009E3D8B">
        <w:t>following</w:t>
      </w:r>
      <w:r w:rsidR="006575A7">
        <w:t xml:space="preserve"> </w:t>
      </w:r>
      <w:r w:rsidR="00E50810">
        <w:t xml:space="preserve">WI </w:t>
      </w:r>
      <w:r w:rsidR="009F2ADF">
        <w:t xml:space="preserve">objective on </w:t>
      </w:r>
      <w:r w:rsidR="009E3D8B">
        <w:t>half-</w:t>
      </w:r>
      <w:r w:rsidR="009F2ADF">
        <w:t xml:space="preserve">duplex </w:t>
      </w:r>
      <w:r w:rsidR="009E3D8B">
        <w:t>FDD (HD-FDD)</w:t>
      </w:r>
      <w:r>
        <w:t xml:space="preserve"> operation</w:t>
      </w:r>
      <w:r w:rsidR="009E3D8B">
        <w:t xml:space="preserve"> for</w:t>
      </w:r>
      <w:r>
        <w:t xml:space="preserve"> RedCap UE</w:t>
      </w:r>
      <w:r w:rsidR="009E3D8B">
        <w:t>s</w:t>
      </w:r>
      <w:r w:rsidR="00DA32C3">
        <w:rPr>
          <w:lang w:val="en-GB" w:eastAsia="ja-JP"/>
        </w:rPr>
        <w:t xml:space="preserve"> </w:t>
      </w:r>
      <w:r w:rsidR="00DA32C3">
        <w:rPr>
          <w:lang w:val="en-GB" w:eastAsia="ja-JP"/>
        </w:rPr>
        <w:fldChar w:fldCharType="begin"/>
      </w:r>
      <w:r w:rsidR="00DA32C3">
        <w:rPr>
          <w:lang w:val="en-GB" w:eastAsia="ja-JP"/>
        </w:rPr>
        <w:instrText xml:space="preserve"> REF _Ref79143509 \r \h </w:instrText>
      </w:r>
      <w:r w:rsidR="00B86402">
        <w:rPr>
          <w:lang w:val="en-GB" w:eastAsia="ja-JP"/>
        </w:rPr>
        <w:instrText xml:space="preserve"> \* MERGEFORMAT </w:instrText>
      </w:r>
      <w:r w:rsidR="00DA32C3">
        <w:rPr>
          <w:lang w:val="en-GB" w:eastAsia="ja-JP"/>
        </w:rPr>
      </w:r>
      <w:r w:rsidR="00DA32C3">
        <w:rPr>
          <w:lang w:val="en-GB" w:eastAsia="ja-JP"/>
        </w:rPr>
        <w:fldChar w:fldCharType="separate"/>
      </w:r>
      <w:r w:rsidR="00872C01">
        <w:rPr>
          <w:lang w:val="en-GB" w:eastAsia="ja-JP"/>
        </w:rPr>
        <w:t>[1]</w:t>
      </w:r>
      <w:r w:rsidR="00DA32C3">
        <w:rPr>
          <w:lang w:val="en-GB" w:eastAsia="ja-JP"/>
        </w:rPr>
        <w:fldChar w:fldCharType="end"/>
      </w:r>
      <w:r w:rsidR="009E3D8B">
        <w:rPr>
          <w:lang w:val="en-GB" w:eastAsia="ja-JP"/>
        </w:rPr>
        <w:t>:</w:t>
      </w:r>
    </w:p>
    <w:tbl>
      <w:tblPr>
        <w:tblStyle w:val="TableGrid"/>
        <w:tblW w:w="0" w:type="auto"/>
        <w:tblLook w:val="04A0" w:firstRow="1" w:lastRow="0" w:firstColumn="1" w:lastColumn="0" w:noHBand="0" w:noVBand="1"/>
      </w:tblPr>
      <w:tblGrid>
        <w:gridCol w:w="9629"/>
      </w:tblGrid>
      <w:tr w:rsidR="009F2ADF" w:rsidRPr="00303B6F" w14:paraId="11CDBAE0" w14:textId="77777777" w:rsidTr="00406994">
        <w:tc>
          <w:tcPr>
            <w:tcW w:w="9629" w:type="dxa"/>
          </w:tcPr>
          <w:p w14:paraId="794CDB3F" w14:textId="77777777" w:rsidR="009F2ADF" w:rsidRPr="00303B6F" w:rsidRDefault="009F2ADF" w:rsidP="00B86402">
            <w:pPr>
              <w:numPr>
                <w:ilvl w:val="0"/>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eastAsia="Batang" w:hAnsi="Times New Roman" w:cs="Times New Roman"/>
                <w:sz w:val="20"/>
                <w:szCs w:val="20"/>
                <w:lang w:val="en-GB" w:eastAsia="x-none"/>
              </w:rPr>
              <w:t>Specify support for the following UE complexity reduction features [RAN1, RAN2, RAN4]:</w:t>
            </w:r>
          </w:p>
          <w:p w14:paraId="14840137" w14:textId="77777777" w:rsidR="009F2ADF" w:rsidRPr="00303B6F" w:rsidRDefault="009F2ADF" w:rsidP="00B86402">
            <w:pPr>
              <w:numPr>
                <w:ilvl w:val="1"/>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Duplex operation:</w:t>
            </w:r>
          </w:p>
          <w:p w14:paraId="272F623D" w14:textId="77777777" w:rsidR="009F2ADF" w:rsidRPr="00303B6F" w:rsidRDefault="009F2ADF" w:rsidP="00B86402">
            <w:pPr>
              <w:numPr>
                <w:ilvl w:val="2"/>
                <w:numId w:val="13"/>
              </w:numPr>
              <w:spacing w:before="40" w:after="0" w:line="252" w:lineRule="auto"/>
              <w:contextualSpacing/>
              <w:jc w:val="both"/>
              <w:rPr>
                <w:rFonts w:ascii="Times New Roman" w:eastAsia="Batang" w:hAnsi="Times New Roman" w:cs="Times New Roman"/>
                <w:sz w:val="20"/>
                <w:szCs w:val="20"/>
                <w:lang w:val="en-GB" w:eastAsia="x-none"/>
              </w:rPr>
            </w:pPr>
            <w:r w:rsidRPr="00303B6F">
              <w:rPr>
                <w:rFonts w:ascii="Times New Roman" w:hAnsi="Times New Roman" w:cs="Times New Roman"/>
                <w:sz w:val="20"/>
                <w:szCs w:val="20"/>
                <w:lang w:val="en-GB" w:eastAsia="ja-JP"/>
              </w:rPr>
              <w:t>HD-FDD type A with the minimum specification impact (Note that FD-FDD and TDD are also supported.)</w:t>
            </w:r>
          </w:p>
          <w:p w14:paraId="5FD88E08" w14:textId="77777777" w:rsidR="009F2ADF" w:rsidRPr="00303B6F" w:rsidRDefault="009F2ADF" w:rsidP="00B86402">
            <w:pPr>
              <w:spacing w:before="40" w:after="0" w:line="252" w:lineRule="auto"/>
              <w:contextualSpacing/>
              <w:jc w:val="both"/>
              <w:rPr>
                <w:rFonts w:ascii="Times New Roman" w:eastAsia="Batang" w:hAnsi="Times New Roman" w:cs="Times New Roman"/>
                <w:sz w:val="20"/>
                <w:szCs w:val="20"/>
                <w:lang w:val="en-GB" w:eastAsia="x-none"/>
              </w:rPr>
            </w:pPr>
          </w:p>
        </w:tc>
      </w:tr>
    </w:tbl>
    <w:p w14:paraId="1C86E16B" w14:textId="2F2A8BC1" w:rsidR="009F2ADF" w:rsidRDefault="009F2ADF" w:rsidP="00B86402">
      <w:pPr>
        <w:jc w:val="both"/>
        <w:rPr>
          <w:szCs w:val="20"/>
          <w:lang w:val="en-GB" w:eastAsia="ja-JP"/>
        </w:rPr>
      </w:pPr>
    </w:p>
    <w:p w14:paraId="5220BC22" w14:textId="73E002D9" w:rsidR="00F90E6E" w:rsidRPr="0049258A" w:rsidRDefault="004002A1" w:rsidP="00B86402">
      <w:pPr>
        <w:jc w:val="both"/>
        <w:rPr>
          <w:szCs w:val="20"/>
          <w:lang w:val="en-GB" w:eastAsia="ja-JP"/>
        </w:rPr>
      </w:pPr>
      <w:r>
        <w:t xml:space="preserve">Most of the issues were solved in </w:t>
      </w:r>
      <w:r w:rsidR="00F90E6E">
        <w:rPr>
          <w:szCs w:val="20"/>
          <w:lang w:val="en-GB" w:eastAsia="ja-JP"/>
        </w:rPr>
        <w:t>RAN1#10</w:t>
      </w:r>
      <w:r>
        <w:rPr>
          <w:szCs w:val="20"/>
          <w:lang w:val="en-GB" w:eastAsia="ja-JP"/>
        </w:rPr>
        <w:t>7</w:t>
      </w:r>
      <w:r w:rsidR="00F90E6E">
        <w:rPr>
          <w:szCs w:val="20"/>
          <w:lang w:val="en-GB" w:eastAsia="ja-JP"/>
        </w:rPr>
        <w:t>-e</w:t>
      </w:r>
      <w:r>
        <w:rPr>
          <w:szCs w:val="20"/>
          <w:lang w:val="en-GB" w:eastAsia="ja-JP"/>
        </w:rPr>
        <w:t xml:space="preserve"> where the </w:t>
      </w:r>
      <w:r w:rsidR="00F90E6E">
        <w:rPr>
          <w:szCs w:val="20"/>
          <w:lang w:val="en-GB" w:eastAsia="ja-JP"/>
        </w:rPr>
        <w:t xml:space="preserve">following agreements </w:t>
      </w:r>
      <w:r>
        <w:rPr>
          <w:szCs w:val="20"/>
          <w:lang w:val="en-GB" w:eastAsia="ja-JP"/>
        </w:rPr>
        <w:t xml:space="preserve">were reached for </w:t>
      </w:r>
      <w:r w:rsidR="00F90E6E">
        <w:rPr>
          <w:szCs w:val="20"/>
          <w:lang w:val="en-GB" w:eastAsia="ja-JP"/>
        </w:rPr>
        <w:t xml:space="preserve">HD-FDD </w:t>
      </w:r>
      <w:r w:rsidR="00406CF6">
        <w:rPr>
          <w:szCs w:val="20"/>
          <w:lang w:val="en-GB" w:eastAsia="ja-JP"/>
        </w:rPr>
        <w:fldChar w:fldCharType="begin"/>
      </w:r>
      <w:r w:rsidR="00406CF6">
        <w:rPr>
          <w:szCs w:val="20"/>
          <w:lang w:val="en-GB" w:eastAsia="ja-JP"/>
        </w:rPr>
        <w:instrText xml:space="preserve"> REF _Ref75178331 \r \h </w:instrText>
      </w:r>
      <w:r w:rsidR="00B86402">
        <w:rPr>
          <w:szCs w:val="20"/>
          <w:lang w:val="en-GB" w:eastAsia="ja-JP"/>
        </w:rPr>
        <w:instrText xml:space="preserve"> \* MERGEFORMAT </w:instrText>
      </w:r>
      <w:r w:rsidR="00406CF6">
        <w:rPr>
          <w:szCs w:val="20"/>
          <w:lang w:val="en-GB" w:eastAsia="ja-JP"/>
        </w:rPr>
      </w:r>
      <w:r w:rsidR="00406CF6">
        <w:rPr>
          <w:szCs w:val="20"/>
          <w:lang w:val="en-GB" w:eastAsia="ja-JP"/>
        </w:rPr>
        <w:fldChar w:fldCharType="separate"/>
      </w:r>
      <w:r w:rsidR="00872C01">
        <w:rPr>
          <w:szCs w:val="20"/>
          <w:lang w:val="en-GB" w:eastAsia="ja-JP"/>
        </w:rPr>
        <w:t>[2]</w:t>
      </w:r>
      <w:r w:rsidR="00406CF6">
        <w:rPr>
          <w:szCs w:val="20"/>
          <w:lang w:val="en-GB" w:eastAsia="ja-JP"/>
        </w:rPr>
        <w:fldChar w:fldCharType="end"/>
      </w:r>
      <w:r w:rsidR="00947E85">
        <w:rPr>
          <w:szCs w:val="20"/>
          <w:lang w:val="en-GB" w:eastAsia="ja-JP"/>
        </w:rPr>
        <w:t>:</w:t>
      </w:r>
    </w:p>
    <w:tbl>
      <w:tblPr>
        <w:tblW w:w="9629" w:type="dxa"/>
        <w:tblCellMar>
          <w:left w:w="0" w:type="dxa"/>
          <w:right w:w="0" w:type="dxa"/>
        </w:tblCellMar>
        <w:tblLook w:val="04A0" w:firstRow="1" w:lastRow="0" w:firstColumn="1" w:lastColumn="0" w:noHBand="0" w:noVBand="1"/>
      </w:tblPr>
      <w:tblGrid>
        <w:gridCol w:w="9629"/>
      </w:tblGrid>
      <w:tr w:rsidR="00F90E6E" w:rsidRPr="004002A1" w14:paraId="5165F14B" w14:textId="77777777" w:rsidTr="00F90E6E">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1612B3" w14:textId="77777777" w:rsidR="004002A1" w:rsidRPr="004002A1" w:rsidRDefault="004002A1" w:rsidP="004002A1">
            <w:pPr>
              <w:spacing w:after="0" w:line="252" w:lineRule="atLeast"/>
              <w:rPr>
                <w:rFonts w:ascii="Times New Roman" w:eastAsia="MS PGothic" w:hAnsi="Times New Roman" w:cs="Times New Roman"/>
                <w:color w:val="000000"/>
                <w:highlight w:val="green"/>
                <w:lang w:eastAsia="zh-CN"/>
              </w:rPr>
            </w:pPr>
            <w:r w:rsidRPr="004002A1">
              <w:rPr>
                <w:rFonts w:ascii="Times New Roman" w:eastAsia="MS PGothic" w:hAnsi="Times New Roman" w:cs="Times New Roman"/>
                <w:color w:val="000000"/>
                <w:highlight w:val="green"/>
                <w:lang w:eastAsia="zh-CN"/>
              </w:rPr>
              <w:t>Agreement:</w:t>
            </w:r>
          </w:p>
          <w:p w14:paraId="72D80F4D" w14:textId="77777777" w:rsidR="004002A1" w:rsidRPr="004002A1" w:rsidRDefault="004002A1" w:rsidP="00CF7714">
            <w:pPr>
              <w:numPr>
                <w:ilvl w:val="0"/>
                <w:numId w:val="15"/>
              </w:numPr>
              <w:spacing w:after="0" w:line="252" w:lineRule="atLeast"/>
              <w:rPr>
                <w:rFonts w:ascii="Times New Roman" w:eastAsia="MS PGothic" w:hAnsi="Times New Roman" w:cs="Times New Roman"/>
                <w:color w:val="000000"/>
                <w:lang w:eastAsia="zh-CN"/>
              </w:rPr>
            </w:pPr>
            <w:r w:rsidRPr="004002A1">
              <w:rPr>
                <w:rFonts w:ascii="Times New Roman" w:eastAsia="MS PGothic" w:hAnsi="Times New Roman" w:cs="Times New Roman"/>
                <w:color w:val="000000"/>
                <w:lang w:eastAsia="zh-CN"/>
              </w:rPr>
              <w:t>For Case 5 of dynamically scheduled UL transmission vs. SSB, support Option 2 at least for dynamically scheduled UL transmission other than Msg3 (re)transmission and PUCCH for Msg4</w:t>
            </w:r>
          </w:p>
          <w:p w14:paraId="65CFF89A" w14:textId="77777777" w:rsidR="004002A1" w:rsidRPr="004002A1" w:rsidRDefault="004002A1" w:rsidP="00CF7714">
            <w:pPr>
              <w:numPr>
                <w:ilvl w:val="1"/>
                <w:numId w:val="16"/>
              </w:numPr>
              <w:shd w:val="clear" w:color="auto" w:fill="FFFFFF"/>
              <w:spacing w:after="0" w:line="231" w:lineRule="atLeast"/>
              <w:rPr>
                <w:rFonts w:ascii="Times New Roman" w:eastAsia="MS PGothic" w:hAnsi="Times New Roman" w:cs="Times New Roman"/>
                <w:color w:val="000000"/>
                <w:lang w:eastAsia="zh-CN"/>
              </w:rPr>
            </w:pPr>
            <w:r w:rsidRPr="004002A1">
              <w:rPr>
                <w:rFonts w:ascii="Times New Roman" w:eastAsia="MS PGothic" w:hAnsi="Times New Roman" w:cs="Times New Roman"/>
                <w:color w:val="000000"/>
                <w:lang w:eastAsia="zh-CN"/>
              </w:rPr>
              <w:t>Option 2: Reuse the existing collision handling principles of Rel-15/16 for NR TDD that SSB is prioritized over dynamically scheduled UL transmission</w:t>
            </w:r>
          </w:p>
          <w:p w14:paraId="7681210E" w14:textId="77777777" w:rsidR="004002A1" w:rsidRPr="004002A1" w:rsidRDefault="004002A1" w:rsidP="004002A1">
            <w:pPr>
              <w:spacing w:after="0" w:line="252" w:lineRule="atLeast"/>
              <w:rPr>
                <w:rFonts w:ascii="Times New Roman" w:eastAsia="MS PGothic" w:hAnsi="Times New Roman" w:cs="Times New Roman"/>
                <w:color w:val="000000"/>
                <w:highlight w:val="green"/>
                <w:lang w:eastAsia="zh-CN"/>
              </w:rPr>
            </w:pPr>
          </w:p>
          <w:p w14:paraId="52DE129E" w14:textId="77777777" w:rsidR="004002A1" w:rsidRPr="004002A1" w:rsidRDefault="004002A1" w:rsidP="004002A1">
            <w:pPr>
              <w:spacing w:after="0" w:line="252" w:lineRule="atLeast"/>
              <w:rPr>
                <w:rFonts w:ascii="Times New Roman" w:eastAsia="MS PGothic" w:hAnsi="Times New Roman" w:cs="Times New Roman"/>
                <w:color w:val="000000"/>
                <w:highlight w:val="green"/>
                <w:lang w:eastAsia="zh-CN"/>
              </w:rPr>
            </w:pPr>
            <w:r w:rsidRPr="004002A1">
              <w:rPr>
                <w:rFonts w:ascii="Times New Roman" w:eastAsia="MS PGothic" w:hAnsi="Times New Roman" w:cs="Times New Roman"/>
                <w:color w:val="000000"/>
                <w:highlight w:val="green"/>
                <w:lang w:eastAsia="zh-CN"/>
              </w:rPr>
              <w:t>Agreement:</w:t>
            </w:r>
          </w:p>
          <w:p w14:paraId="2C7D0D0B" w14:textId="77777777" w:rsidR="004002A1" w:rsidRPr="004002A1" w:rsidRDefault="004002A1" w:rsidP="00CF7714">
            <w:pPr>
              <w:numPr>
                <w:ilvl w:val="0"/>
                <w:numId w:val="15"/>
              </w:numPr>
              <w:spacing w:after="0" w:line="252" w:lineRule="atLeast"/>
              <w:rPr>
                <w:rFonts w:ascii="Times New Roman" w:eastAsia="MS PGothic" w:hAnsi="Times New Roman" w:cs="Times New Roman"/>
                <w:color w:val="000000"/>
                <w:lang w:eastAsia="zh-CN"/>
              </w:rPr>
            </w:pPr>
            <w:r w:rsidRPr="004002A1">
              <w:rPr>
                <w:rFonts w:ascii="Times New Roman" w:eastAsia="MS PGothic" w:hAnsi="Times New Roman" w:cs="Times New Roman"/>
                <w:color w:val="000000"/>
                <w:lang w:eastAsia="zh-CN"/>
              </w:rPr>
              <w:t>For MsgA PUSCH occasion overlapping with dynamic or semi-static DL reception, leave it to UE implementation to prioritize the DL reception or MsgA PUSCH transmission</w:t>
            </w:r>
          </w:p>
          <w:p w14:paraId="546A2A13" w14:textId="77777777" w:rsidR="004002A1" w:rsidRPr="004002A1" w:rsidRDefault="004002A1" w:rsidP="004002A1">
            <w:pPr>
              <w:spacing w:after="0" w:line="252" w:lineRule="atLeast"/>
              <w:rPr>
                <w:rFonts w:ascii="Times New Roman" w:eastAsia="MS PGothic" w:hAnsi="Times New Roman" w:cs="Times New Roman"/>
                <w:color w:val="000000"/>
                <w:highlight w:val="green"/>
                <w:lang w:eastAsia="zh-CN"/>
              </w:rPr>
            </w:pPr>
          </w:p>
          <w:p w14:paraId="07DCF4E5" w14:textId="77777777" w:rsidR="004002A1" w:rsidRPr="004002A1" w:rsidRDefault="004002A1" w:rsidP="004002A1">
            <w:pPr>
              <w:spacing w:after="0" w:line="252" w:lineRule="atLeast"/>
              <w:rPr>
                <w:rFonts w:ascii="Times New Roman" w:eastAsia="MS PGothic" w:hAnsi="Times New Roman" w:cs="Times New Roman"/>
                <w:color w:val="000000"/>
                <w:highlight w:val="green"/>
                <w:lang w:eastAsia="zh-CN"/>
              </w:rPr>
            </w:pPr>
            <w:r w:rsidRPr="004002A1">
              <w:rPr>
                <w:rFonts w:ascii="Times New Roman" w:eastAsia="MS PGothic" w:hAnsi="Times New Roman" w:cs="Times New Roman"/>
                <w:color w:val="000000"/>
                <w:highlight w:val="green"/>
                <w:lang w:eastAsia="zh-CN"/>
              </w:rPr>
              <w:t>Agreement:</w:t>
            </w:r>
          </w:p>
          <w:p w14:paraId="42ABAE70" w14:textId="77777777" w:rsidR="004002A1" w:rsidRPr="004002A1" w:rsidRDefault="004002A1" w:rsidP="00CF7714">
            <w:pPr>
              <w:numPr>
                <w:ilvl w:val="0"/>
                <w:numId w:val="15"/>
              </w:numPr>
              <w:spacing w:after="0" w:line="252" w:lineRule="atLeast"/>
              <w:rPr>
                <w:rFonts w:ascii="Times New Roman" w:eastAsia="MS PGothic" w:hAnsi="Times New Roman" w:cs="Times New Roman"/>
                <w:color w:val="000000"/>
                <w:lang w:eastAsia="zh-CN"/>
              </w:rPr>
            </w:pPr>
            <w:r w:rsidRPr="004002A1">
              <w:rPr>
                <w:rFonts w:ascii="Times New Roman" w:eastAsia="MS PGothic" w:hAnsi="Times New Roman" w:cs="Times New Roman"/>
                <w:color w:val="000000"/>
                <w:lang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4F4FCFD6" w14:textId="77777777" w:rsidR="004002A1" w:rsidRPr="004002A1" w:rsidRDefault="004002A1" w:rsidP="004002A1">
            <w:pPr>
              <w:spacing w:after="0"/>
              <w:rPr>
                <w:rFonts w:ascii="Times New Roman" w:eastAsia="MS Gothic" w:hAnsi="Times New Roman" w:cs="Times New Roman"/>
                <w:i/>
                <w:iCs/>
                <w:color w:val="000000"/>
                <w:lang w:eastAsia="x-none"/>
              </w:rPr>
            </w:pPr>
          </w:p>
          <w:p w14:paraId="43E513B7" w14:textId="77777777" w:rsidR="004002A1" w:rsidRPr="004002A1" w:rsidRDefault="004002A1" w:rsidP="004002A1">
            <w:pPr>
              <w:spacing w:after="0" w:line="252" w:lineRule="atLeast"/>
              <w:rPr>
                <w:rFonts w:ascii="Times New Roman" w:eastAsia="MS PGothic" w:hAnsi="Times New Roman" w:cs="Times New Roman"/>
                <w:color w:val="000000"/>
                <w:highlight w:val="green"/>
                <w:lang w:eastAsia="zh-CN"/>
              </w:rPr>
            </w:pPr>
            <w:bookmarkStart w:id="0" w:name="_Hlk88171850"/>
            <w:r w:rsidRPr="004002A1">
              <w:rPr>
                <w:rFonts w:ascii="Times New Roman" w:eastAsia="MS PGothic" w:hAnsi="Times New Roman" w:cs="Times New Roman"/>
                <w:color w:val="000000"/>
                <w:highlight w:val="green"/>
                <w:lang w:eastAsia="zh-CN"/>
              </w:rPr>
              <w:t>Agreement:</w:t>
            </w:r>
          </w:p>
          <w:p w14:paraId="46323E8E" w14:textId="77777777" w:rsidR="004002A1" w:rsidRPr="004002A1" w:rsidRDefault="004002A1" w:rsidP="004002A1">
            <w:pPr>
              <w:shd w:val="clear" w:color="auto" w:fill="FFFFFF"/>
              <w:spacing w:after="0" w:line="231" w:lineRule="atLeast"/>
              <w:ind w:left="720" w:hanging="360"/>
              <w:jc w:val="both"/>
              <w:rPr>
                <w:rFonts w:ascii="Times New Roman" w:eastAsia="MS PGothic" w:hAnsi="Times New Roman" w:cs="Times New Roman"/>
                <w:color w:val="000000"/>
                <w:lang w:eastAsia="zh-CN"/>
              </w:rPr>
            </w:pPr>
            <w:r w:rsidRPr="004002A1">
              <w:rPr>
                <w:rFonts w:ascii="Times New Roman" w:eastAsia="Microsoft YaHei UI" w:hAnsi="Times New Roman" w:cs="Times New Roman"/>
                <w:color w:val="000000"/>
                <w:lang w:eastAsia="zh-CN"/>
              </w:rPr>
              <w:t>·</w:t>
            </w:r>
            <w:r w:rsidRPr="004002A1">
              <w:rPr>
                <w:rFonts w:ascii="Times New Roman" w:eastAsia="Microsoft YaHei UI" w:hAnsi="Times New Roman" w:cs="Times New Roman"/>
                <w:color w:val="000000"/>
                <w:sz w:val="14"/>
                <w:szCs w:val="14"/>
                <w:lang w:eastAsia="zh-CN"/>
              </w:rPr>
              <w:t>  </w:t>
            </w:r>
            <w:r w:rsidRPr="004002A1">
              <w:rPr>
                <w:rFonts w:ascii="Times New Roman" w:eastAsia="MS PGothic" w:hAnsi="Times New Roman" w:cs="Times New Roman"/>
                <w:color w:val="000000"/>
                <w:lang w:eastAsia="zh-CN"/>
              </w:rPr>
              <w:t>    The “back-to-back” non-overlapping UL/DL without sufficient gap between cell-specific configured DL and dedicated configured UL may happen, i.e., allowed for HD-FDD UEs</w:t>
            </w:r>
          </w:p>
          <w:p w14:paraId="109696B8" w14:textId="77777777" w:rsidR="004002A1" w:rsidRPr="004002A1" w:rsidRDefault="004002A1" w:rsidP="00CF7714">
            <w:pPr>
              <w:numPr>
                <w:ilvl w:val="1"/>
                <w:numId w:val="16"/>
              </w:numPr>
              <w:shd w:val="clear" w:color="auto" w:fill="FFFFFF"/>
              <w:spacing w:after="0" w:line="231" w:lineRule="atLeast"/>
              <w:rPr>
                <w:rFonts w:ascii="Times New Roman" w:eastAsia="MS PGothic" w:hAnsi="Times New Roman" w:cs="Times New Roman"/>
                <w:color w:val="000000"/>
                <w:lang w:eastAsia="zh-CN"/>
              </w:rPr>
            </w:pPr>
            <w:r w:rsidRPr="004002A1">
              <w:rPr>
                <w:rFonts w:ascii="Times New Roman" w:eastAsia="MS PGothic" w:hAnsi="Times New Roman" w:cs="Times New Roman"/>
                <w:color w:val="000000"/>
                <w:lang w:eastAsia="zh-CN"/>
              </w:rPr>
              <w:t>E.g., SSB vs. CG PUSCH, PUCCH or SRS</w:t>
            </w:r>
          </w:p>
          <w:p w14:paraId="7C20CF1B" w14:textId="77777777" w:rsidR="004002A1" w:rsidRPr="004002A1" w:rsidRDefault="004002A1" w:rsidP="00CF7714">
            <w:pPr>
              <w:numPr>
                <w:ilvl w:val="1"/>
                <w:numId w:val="16"/>
              </w:numPr>
              <w:shd w:val="clear" w:color="auto" w:fill="FFFFFF"/>
              <w:spacing w:after="0" w:line="231" w:lineRule="atLeast"/>
              <w:rPr>
                <w:rFonts w:ascii="Times New Roman" w:eastAsia="MS PGothic" w:hAnsi="Times New Roman" w:cs="Times New Roman"/>
                <w:color w:val="000000"/>
                <w:lang w:eastAsia="zh-CN"/>
              </w:rPr>
            </w:pPr>
            <w:r w:rsidRPr="004002A1">
              <w:rPr>
                <w:rFonts w:ascii="Times New Roman" w:eastAsia="MS PGothic" w:hAnsi="Times New Roman" w:cs="Times New Roman"/>
                <w:color w:val="000000"/>
                <w:lang w:eastAsia="zh-CN"/>
              </w:rPr>
              <w:t>Configured UL transmission is cancelled (as in the overlapping case)</w:t>
            </w:r>
          </w:p>
          <w:p w14:paraId="11B63CD7" w14:textId="77777777" w:rsidR="004002A1" w:rsidRPr="004002A1" w:rsidRDefault="004002A1" w:rsidP="00CF7714">
            <w:pPr>
              <w:numPr>
                <w:ilvl w:val="0"/>
                <w:numId w:val="16"/>
              </w:numPr>
              <w:shd w:val="clear" w:color="auto" w:fill="FFFFFF"/>
              <w:spacing w:after="0" w:line="231" w:lineRule="atLeast"/>
              <w:rPr>
                <w:rFonts w:ascii="Times New Roman" w:eastAsia="MS PGothic" w:hAnsi="Times New Roman" w:cs="Times New Roman"/>
                <w:color w:val="000000"/>
                <w:lang w:eastAsia="zh-CN"/>
              </w:rPr>
            </w:pPr>
            <w:r w:rsidRPr="004002A1">
              <w:rPr>
                <w:rFonts w:ascii="Times New Roman" w:eastAsia="MS PGothic" w:hAnsi="Times New Roman" w:cs="Times New Roman"/>
                <w:color w:val="000000"/>
                <w:lang w:eastAsia="zh-CN"/>
              </w:rPr>
              <w:t>The “back-to-back” non-overlapping UL/DL without sufficient gap between dedicated configured DL and cell-specific configured UL may happen, i.e., allowed for HD-FDD UEs</w:t>
            </w:r>
          </w:p>
          <w:p w14:paraId="1748CBAA" w14:textId="77777777" w:rsidR="004002A1" w:rsidRPr="004002A1" w:rsidRDefault="004002A1" w:rsidP="00CF7714">
            <w:pPr>
              <w:numPr>
                <w:ilvl w:val="1"/>
                <w:numId w:val="16"/>
              </w:numPr>
              <w:shd w:val="clear" w:color="auto" w:fill="FFFFFF"/>
              <w:spacing w:after="0" w:line="231" w:lineRule="atLeast"/>
              <w:rPr>
                <w:rFonts w:ascii="Times New Roman" w:eastAsia="MS PGothic" w:hAnsi="Times New Roman" w:cs="Times New Roman"/>
                <w:color w:val="000000"/>
                <w:lang w:eastAsia="zh-CN"/>
              </w:rPr>
            </w:pPr>
            <w:r w:rsidRPr="004002A1">
              <w:rPr>
                <w:rFonts w:ascii="Times New Roman" w:eastAsia="MS PGothic" w:hAnsi="Times New Roman" w:cs="Times New Roman"/>
                <w:color w:val="000000"/>
                <w:lang w:eastAsia="zh-CN"/>
              </w:rPr>
              <w:t>E.g., PDCCH in USS, SPS PDSCH, CSI-RS or DL PRS vs. valid RO</w:t>
            </w:r>
          </w:p>
          <w:p w14:paraId="5EB9FE24" w14:textId="77777777" w:rsidR="004002A1" w:rsidRPr="004002A1" w:rsidRDefault="004002A1" w:rsidP="00CF7714">
            <w:pPr>
              <w:numPr>
                <w:ilvl w:val="1"/>
                <w:numId w:val="16"/>
              </w:numPr>
              <w:shd w:val="clear" w:color="auto" w:fill="FFFFFF"/>
              <w:spacing w:after="0" w:line="231" w:lineRule="atLeast"/>
              <w:rPr>
                <w:rFonts w:ascii="Times New Roman" w:eastAsia="MS PGothic" w:hAnsi="Times New Roman" w:cs="Times New Roman"/>
                <w:color w:val="000000"/>
                <w:lang w:eastAsia="zh-CN"/>
              </w:rPr>
            </w:pPr>
            <w:r w:rsidRPr="004002A1">
              <w:rPr>
                <w:rFonts w:ascii="Times New Roman" w:eastAsia="MS PGothic" w:hAnsi="Times New Roman" w:cs="Times New Roman"/>
                <w:color w:val="000000"/>
                <w:lang w:eastAsia="zh-CN"/>
              </w:rPr>
              <w:t>Leave it to UE implementation to cancel either DL reception or UL transmission to ensure sufficient switching time</w:t>
            </w:r>
          </w:p>
          <w:p w14:paraId="20578C90" w14:textId="77777777" w:rsidR="004002A1" w:rsidRPr="004002A1" w:rsidRDefault="004002A1" w:rsidP="004002A1">
            <w:pPr>
              <w:shd w:val="clear" w:color="auto" w:fill="FFFFFF"/>
              <w:spacing w:after="0" w:line="231" w:lineRule="atLeast"/>
              <w:jc w:val="both"/>
              <w:rPr>
                <w:rFonts w:ascii="Times New Roman" w:eastAsia="MS PGothic" w:hAnsi="Times New Roman" w:cs="Times New Roman"/>
                <w:color w:val="000000"/>
                <w:lang w:eastAsia="zh-CN"/>
              </w:rPr>
            </w:pPr>
          </w:p>
          <w:bookmarkEnd w:id="0"/>
          <w:p w14:paraId="59B82FDA" w14:textId="77777777" w:rsidR="004002A1" w:rsidRPr="004002A1" w:rsidRDefault="004002A1" w:rsidP="004002A1">
            <w:pPr>
              <w:spacing w:after="0" w:line="252" w:lineRule="atLeast"/>
              <w:rPr>
                <w:rFonts w:ascii="Times New Roman" w:eastAsia="Batang" w:hAnsi="Times New Roman" w:cs="Times New Roman"/>
                <w:szCs w:val="24"/>
                <w:highlight w:val="green"/>
              </w:rPr>
            </w:pPr>
            <w:r w:rsidRPr="004002A1">
              <w:rPr>
                <w:rFonts w:ascii="Times New Roman" w:eastAsia="MS PGothic" w:hAnsi="Times New Roman" w:cs="Times New Roman"/>
                <w:color w:val="000000"/>
                <w:highlight w:val="green"/>
                <w:lang w:eastAsia="zh-CN"/>
              </w:rPr>
              <w:t>Agreement:</w:t>
            </w:r>
          </w:p>
          <w:p w14:paraId="69FAB105" w14:textId="64C4C568" w:rsidR="00F90E6E" w:rsidRPr="004002A1" w:rsidRDefault="004002A1" w:rsidP="004002A1">
            <w:pPr>
              <w:shd w:val="clear" w:color="auto" w:fill="FFFFFF"/>
              <w:spacing w:after="0" w:line="231" w:lineRule="atLeast"/>
              <w:ind w:left="720" w:hanging="360"/>
              <w:jc w:val="both"/>
              <w:rPr>
                <w:rFonts w:ascii="Times New Roman" w:eastAsia="MS PGothic" w:hAnsi="Times New Roman" w:cs="Times New Roman"/>
                <w:color w:val="000000"/>
                <w:lang w:eastAsia="zh-CN"/>
              </w:rPr>
            </w:pPr>
            <w:r w:rsidRPr="004002A1">
              <w:rPr>
                <w:rFonts w:ascii="Times New Roman" w:eastAsia="Microsoft YaHei UI" w:hAnsi="Times New Roman" w:cs="Times New Roman"/>
                <w:color w:val="000000"/>
                <w:lang w:eastAsia="zh-CN"/>
              </w:rPr>
              <w:t>·</w:t>
            </w:r>
            <w:r w:rsidRPr="004002A1">
              <w:rPr>
                <w:rFonts w:ascii="Times New Roman" w:eastAsia="Microsoft YaHei UI" w:hAnsi="Times New Roman" w:cs="Times New Roman"/>
                <w:color w:val="000000"/>
                <w:sz w:val="14"/>
                <w:szCs w:val="14"/>
                <w:lang w:eastAsia="zh-CN"/>
              </w:rPr>
              <w:t>   </w:t>
            </w:r>
            <w:r w:rsidRPr="004002A1">
              <w:rPr>
                <w:rFonts w:ascii="Times New Roman" w:eastAsia="MS PGothic" w:hAnsi="Times New Roman" w:cs="Times New Roman"/>
                <w:color w:val="000000"/>
                <w:lang w:eastAsia="zh-CN"/>
              </w:rPr>
              <w:t>   No additional UE behavior for DL/UL collision handling is specified in Rel-17 if SFI monitoring is supported for HD-FDD RedCap UEs.</w:t>
            </w:r>
          </w:p>
        </w:tc>
      </w:tr>
    </w:tbl>
    <w:p w14:paraId="0E404195" w14:textId="77777777" w:rsidR="00F90E6E" w:rsidRPr="009A1355" w:rsidRDefault="00F90E6E" w:rsidP="00B86402">
      <w:pPr>
        <w:jc w:val="both"/>
        <w:rPr>
          <w:szCs w:val="20"/>
          <w:lang w:val="en-GB" w:eastAsia="ja-JP"/>
        </w:rPr>
      </w:pPr>
    </w:p>
    <w:p w14:paraId="274C3169" w14:textId="43450DB5" w:rsidR="004002A1" w:rsidRDefault="004002A1" w:rsidP="00B86402">
      <w:pPr>
        <w:pStyle w:val="BodyText"/>
      </w:pPr>
      <w:r>
        <w:t>The only open issue left to be completed is</w:t>
      </w:r>
      <w:r w:rsidR="00D367B4">
        <w:t xml:space="preserve"> the </w:t>
      </w:r>
      <w:r w:rsidR="00C978DC">
        <w:t xml:space="preserve">handling of the </w:t>
      </w:r>
      <w:r w:rsidR="00D367B4">
        <w:t>following collision case</w:t>
      </w:r>
      <w:r w:rsidR="00226000">
        <w:t xml:space="preserve"> </w:t>
      </w:r>
      <w:r w:rsidR="00226000">
        <w:fldChar w:fldCharType="begin"/>
      </w:r>
      <w:r w:rsidR="00226000">
        <w:instrText xml:space="preserve"> REF _Ref89704984 \r \h </w:instrText>
      </w:r>
      <w:r w:rsidR="00226000">
        <w:fldChar w:fldCharType="separate"/>
      </w:r>
      <w:r w:rsidR="00872C01">
        <w:t>[3]</w:t>
      </w:r>
      <w:r w:rsidR="00226000">
        <w:fldChar w:fldCharType="end"/>
      </w:r>
      <w:r w:rsidR="00D367B4">
        <w:t>:</w:t>
      </w:r>
    </w:p>
    <w:p w14:paraId="260BED16" w14:textId="77777777" w:rsidR="004002A1" w:rsidRDefault="004002A1" w:rsidP="00CF7714">
      <w:pPr>
        <w:numPr>
          <w:ilvl w:val="0"/>
          <w:numId w:val="17"/>
        </w:numPr>
        <w:spacing w:after="0" w:line="256" w:lineRule="auto"/>
        <w:rPr>
          <w:rFonts w:asciiTheme="minorHAnsi" w:hAnsiTheme="minorHAnsi"/>
        </w:rPr>
      </w:pPr>
      <w:r>
        <w:rPr>
          <w:rFonts w:hint="eastAsia"/>
        </w:rPr>
        <w:t>Collision handling between SSB and Msg3 or PUCCH in response to Msg4/MsgB for HD-FDD UE</w:t>
      </w:r>
    </w:p>
    <w:p w14:paraId="1109F96A" w14:textId="22476075" w:rsidR="004002A1" w:rsidRDefault="004002A1" w:rsidP="00B86402">
      <w:pPr>
        <w:pStyle w:val="BodyText"/>
      </w:pPr>
      <w:r>
        <w:t xml:space="preserve"> </w:t>
      </w:r>
    </w:p>
    <w:p w14:paraId="40B24156" w14:textId="134C1B57" w:rsidR="007E55F4" w:rsidRPr="007E55F4" w:rsidRDefault="001906FC" w:rsidP="00B86402">
      <w:pPr>
        <w:pStyle w:val="Heading1"/>
        <w:jc w:val="both"/>
      </w:pPr>
      <w:r>
        <w:t>2</w:t>
      </w:r>
      <w:r w:rsidR="007E55F4">
        <w:tab/>
      </w:r>
      <w:r w:rsidR="00EE73B8">
        <w:t xml:space="preserve">HD-FDD </w:t>
      </w:r>
      <w:r w:rsidR="009F2ADF">
        <w:t>collision between</w:t>
      </w:r>
      <w:r w:rsidR="004002A1">
        <w:t xml:space="preserve"> </w:t>
      </w:r>
      <w:r w:rsidR="004002A1" w:rsidRPr="009025D9">
        <w:t xml:space="preserve">SSB </w:t>
      </w:r>
      <w:r w:rsidR="004002A1">
        <w:t>and</w:t>
      </w:r>
      <w:r w:rsidR="004002A1" w:rsidRPr="009025D9">
        <w:t xml:space="preserve"> </w:t>
      </w:r>
      <w:r w:rsidR="004002A1">
        <w:rPr>
          <w:rFonts w:hint="eastAsia"/>
        </w:rPr>
        <w:t>Msg3 or PUCCH in response to Msg4/MsgB</w:t>
      </w:r>
    </w:p>
    <w:p w14:paraId="727CE4E4" w14:textId="635DDA10" w:rsidR="004002A1" w:rsidRPr="005E2072" w:rsidRDefault="009F2ADF" w:rsidP="00B86402">
      <w:pPr>
        <w:jc w:val="both"/>
        <w:rPr>
          <w:rFonts w:cs="Arial"/>
          <w:szCs w:val="20"/>
          <w:lang w:val="en-GB" w:eastAsia="ja-JP"/>
        </w:rPr>
      </w:pPr>
      <w:r w:rsidRPr="005E2072">
        <w:rPr>
          <w:rFonts w:cs="Arial"/>
          <w:szCs w:val="20"/>
          <w:lang w:val="en-GB" w:eastAsia="ja-JP"/>
        </w:rPr>
        <w:t xml:space="preserve">In </w:t>
      </w:r>
      <w:r w:rsidR="004002A1" w:rsidRPr="005E2072">
        <w:rPr>
          <w:rFonts w:cs="Arial"/>
          <w:szCs w:val="20"/>
          <w:lang w:val="en-GB" w:eastAsia="ja-JP"/>
        </w:rPr>
        <w:t xml:space="preserve">previous </w:t>
      </w:r>
      <w:r w:rsidR="00B632DB" w:rsidRPr="005E2072">
        <w:rPr>
          <w:rFonts w:cs="Arial"/>
          <w:szCs w:val="20"/>
          <w:lang w:val="en-GB" w:eastAsia="ja-JP"/>
        </w:rPr>
        <w:t>RAN1 meetings</w:t>
      </w:r>
      <w:r w:rsidRPr="005E2072">
        <w:rPr>
          <w:rFonts w:cs="Arial"/>
          <w:szCs w:val="20"/>
          <w:lang w:val="en-GB" w:eastAsia="ja-JP"/>
        </w:rPr>
        <w:t xml:space="preserve">, </w:t>
      </w:r>
      <w:r w:rsidR="004002A1" w:rsidRPr="005E2072">
        <w:rPr>
          <w:rFonts w:cs="Arial"/>
          <w:szCs w:val="20"/>
          <w:lang w:val="en-GB" w:eastAsia="ja-JP"/>
        </w:rPr>
        <w:t xml:space="preserve">the following collision sub-cases between SSB and UL transmission were discussed. </w:t>
      </w:r>
    </w:p>
    <w:p w14:paraId="2D733B26" w14:textId="443C8155" w:rsidR="004002A1" w:rsidRPr="005E2072" w:rsidRDefault="004002A1" w:rsidP="00CF7714">
      <w:pPr>
        <w:pStyle w:val="ListParagraph"/>
        <w:numPr>
          <w:ilvl w:val="0"/>
          <w:numId w:val="18"/>
        </w:numPr>
        <w:jc w:val="both"/>
        <w:rPr>
          <w:rFonts w:ascii="Arial" w:hAnsi="Arial" w:cs="Arial"/>
          <w:sz w:val="20"/>
          <w:szCs w:val="20"/>
          <w:lang w:val="en-GB" w:eastAsia="ja-JP"/>
        </w:rPr>
      </w:pPr>
      <w:r w:rsidRPr="005E2072">
        <w:rPr>
          <w:rFonts w:ascii="Arial" w:hAnsi="Arial" w:cs="Arial"/>
          <w:sz w:val="20"/>
          <w:szCs w:val="20"/>
          <w:lang w:val="en-GB" w:eastAsia="ja-JP"/>
        </w:rPr>
        <w:t>SSB vs. configured UL</w:t>
      </w:r>
    </w:p>
    <w:p w14:paraId="603A61BC" w14:textId="26F91588" w:rsidR="004002A1" w:rsidRPr="005E2072" w:rsidRDefault="004002A1" w:rsidP="00CF7714">
      <w:pPr>
        <w:pStyle w:val="ListParagraph"/>
        <w:numPr>
          <w:ilvl w:val="0"/>
          <w:numId w:val="18"/>
        </w:numPr>
        <w:jc w:val="both"/>
        <w:rPr>
          <w:rFonts w:ascii="Arial" w:hAnsi="Arial" w:cs="Arial"/>
          <w:sz w:val="20"/>
          <w:szCs w:val="20"/>
          <w:lang w:val="en-GB" w:eastAsia="ja-JP"/>
        </w:rPr>
      </w:pPr>
      <w:r w:rsidRPr="005E2072">
        <w:rPr>
          <w:rFonts w:ascii="Arial" w:hAnsi="Arial" w:cs="Arial"/>
          <w:sz w:val="20"/>
          <w:szCs w:val="20"/>
          <w:lang w:val="en-GB" w:eastAsia="ja-JP"/>
        </w:rPr>
        <w:t>SSB vs. dynamic scheduled UL (except Msg3 or PUCCH in response to Msg4/MsgB)</w:t>
      </w:r>
    </w:p>
    <w:p w14:paraId="48805CD3" w14:textId="179AC15F" w:rsidR="004002A1" w:rsidRPr="005E2072" w:rsidRDefault="004002A1" w:rsidP="00CF7714">
      <w:pPr>
        <w:pStyle w:val="ListParagraph"/>
        <w:numPr>
          <w:ilvl w:val="0"/>
          <w:numId w:val="18"/>
        </w:numPr>
        <w:jc w:val="both"/>
        <w:rPr>
          <w:rFonts w:ascii="Arial" w:hAnsi="Arial" w:cs="Arial"/>
          <w:sz w:val="20"/>
          <w:szCs w:val="20"/>
          <w:lang w:val="en-GB" w:eastAsia="ja-JP"/>
        </w:rPr>
      </w:pPr>
      <w:r w:rsidRPr="005E2072">
        <w:rPr>
          <w:rFonts w:ascii="Arial" w:hAnsi="Arial" w:cs="Arial"/>
          <w:sz w:val="20"/>
          <w:szCs w:val="20"/>
          <w:lang w:val="en-GB" w:eastAsia="ja-JP"/>
        </w:rPr>
        <w:t>SSB vs. Msg3 or PUCCH in response to Msg4/MsgB</w:t>
      </w:r>
    </w:p>
    <w:p w14:paraId="37C26C8D" w14:textId="77777777" w:rsidR="004002A1" w:rsidRPr="005E2072" w:rsidRDefault="004002A1" w:rsidP="00B86402">
      <w:pPr>
        <w:jc w:val="both"/>
        <w:rPr>
          <w:rFonts w:cs="Arial"/>
          <w:szCs w:val="20"/>
          <w:lang w:val="en-GB" w:eastAsia="ja-JP"/>
        </w:rPr>
      </w:pPr>
    </w:p>
    <w:p w14:paraId="34C8C4D7" w14:textId="4460554A" w:rsidR="004002A1" w:rsidRPr="005E2072" w:rsidRDefault="004002A1" w:rsidP="00B86402">
      <w:pPr>
        <w:jc w:val="both"/>
        <w:rPr>
          <w:rFonts w:cs="Arial"/>
          <w:szCs w:val="20"/>
          <w:lang w:val="en-GB" w:eastAsia="ja-JP"/>
        </w:rPr>
      </w:pPr>
      <w:r w:rsidRPr="005E2072">
        <w:rPr>
          <w:rFonts w:cs="Arial"/>
          <w:szCs w:val="20"/>
          <w:lang w:val="en-GB" w:eastAsia="ja-JP"/>
        </w:rPr>
        <w:t xml:space="preserve">So far, only the first two subcases are resolved in which it was agreed that SSB would be prioritized in case of collisions. That is, UE </w:t>
      </w:r>
      <w:r w:rsidR="00EE0DB7" w:rsidRPr="005E2072">
        <w:rPr>
          <w:rFonts w:cs="Arial"/>
          <w:szCs w:val="20"/>
          <w:lang w:val="en-GB" w:eastAsia="ja-JP"/>
        </w:rPr>
        <w:t xml:space="preserve">would </w:t>
      </w:r>
      <w:r w:rsidRPr="005E2072">
        <w:rPr>
          <w:rFonts w:cs="Arial"/>
          <w:szCs w:val="20"/>
          <w:lang w:val="en-GB" w:eastAsia="ja-JP"/>
        </w:rPr>
        <w:t>receive SSB and does not transmit UL.</w:t>
      </w:r>
    </w:p>
    <w:p w14:paraId="1787C7BD" w14:textId="190227A3" w:rsidR="004002A1" w:rsidRPr="005E2072" w:rsidRDefault="0005004C" w:rsidP="00B86402">
      <w:pPr>
        <w:jc w:val="both"/>
        <w:rPr>
          <w:rFonts w:cs="Arial"/>
          <w:szCs w:val="20"/>
          <w:lang w:val="en-GB" w:eastAsia="ja-JP"/>
        </w:rPr>
      </w:pPr>
      <w:r>
        <w:rPr>
          <w:rFonts w:cs="Arial"/>
          <w:szCs w:val="20"/>
          <w:lang w:val="en-GB" w:eastAsia="ja-JP"/>
        </w:rPr>
        <w:t>For t</w:t>
      </w:r>
      <w:r w:rsidR="004002A1" w:rsidRPr="005E2072">
        <w:rPr>
          <w:rFonts w:cs="Arial"/>
          <w:szCs w:val="20"/>
          <w:lang w:val="en-GB" w:eastAsia="ja-JP"/>
        </w:rPr>
        <w:t>he remaining case between SSB and Msg3 or PUCCH in response to Msg4/MsgB</w:t>
      </w:r>
      <w:r>
        <w:rPr>
          <w:rFonts w:cs="Arial"/>
          <w:szCs w:val="20"/>
          <w:lang w:val="en-GB" w:eastAsia="ja-JP"/>
        </w:rPr>
        <w:t>, t</w:t>
      </w:r>
      <w:r w:rsidR="00EE0DB7" w:rsidRPr="005E2072">
        <w:rPr>
          <w:rFonts w:cs="Arial"/>
          <w:szCs w:val="20"/>
          <w:lang w:val="en-GB" w:eastAsia="ja-JP"/>
        </w:rPr>
        <w:t xml:space="preserve">here </w:t>
      </w:r>
      <w:r>
        <w:rPr>
          <w:rFonts w:cs="Arial"/>
          <w:szCs w:val="20"/>
          <w:lang w:val="en-GB" w:eastAsia="ja-JP"/>
        </w:rPr>
        <w:t>we</w:t>
      </w:r>
      <w:r w:rsidR="00EE0DB7" w:rsidRPr="005E2072">
        <w:rPr>
          <w:rFonts w:cs="Arial"/>
          <w:szCs w:val="20"/>
          <w:lang w:val="en-GB" w:eastAsia="ja-JP"/>
        </w:rPr>
        <w:t>re two options on the tables</w:t>
      </w:r>
      <w:r w:rsidR="00B23517">
        <w:rPr>
          <w:rFonts w:cs="Arial"/>
          <w:szCs w:val="20"/>
          <w:lang w:val="en-GB" w:eastAsia="ja-JP"/>
        </w:rPr>
        <w:t xml:space="preserve"> </w:t>
      </w:r>
      <w:r w:rsidR="00B23517">
        <w:rPr>
          <w:rFonts w:cs="Arial"/>
          <w:szCs w:val="20"/>
          <w:lang w:val="en-GB" w:eastAsia="ja-JP"/>
        </w:rPr>
        <w:fldChar w:fldCharType="begin"/>
      </w:r>
      <w:r w:rsidR="00B23517">
        <w:rPr>
          <w:rFonts w:cs="Arial"/>
          <w:szCs w:val="20"/>
          <w:lang w:val="en-GB" w:eastAsia="ja-JP"/>
        </w:rPr>
        <w:instrText xml:space="preserve"> REF _Ref89705454 \r \h </w:instrText>
      </w:r>
      <w:r w:rsidR="00B23517">
        <w:rPr>
          <w:rFonts w:cs="Arial"/>
          <w:szCs w:val="20"/>
          <w:lang w:val="en-GB" w:eastAsia="ja-JP"/>
        </w:rPr>
      </w:r>
      <w:r w:rsidR="00B23517">
        <w:rPr>
          <w:rFonts w:cs="Arial"/>
          <w:szCs w:val="20"/>
          <w:lang w:val="en-GB" w:eastAsia="ja-JP"/>
        </w:rPr>
        <w:fldChar w:fldCharType="separate"/>
      </w:r>
      <w:r w:rsidR="00872C01">
        <w:rPr>
          <w:rFonts w:cs="Arial"/>
          <w:szCs w:val="20"/>
          <w:lang w:val="en-GB" w:eastAsia="ja-JP"/>
        </w:rPr>
        <w:t>[4]</w:t>
      </w:r>
      <w:r w:rsidR="00B23517">
        <w:rPr>
          <w:rFonts w:cs="Arial"/>
          <w:szCs w:val="20"/>
          <w:lang w:val="en-GB" w:eastAsia="ja-JP"/>
        </w:rPr>
        <w:fldChar w:fldCharType="end"/>
      </w:r>
      <w:r>
        <w:rPr>
          <w:rFonts w:cs="Arial"/>
          <w:szCs w:val="20"/>
          <w:lang w:val="en-GB" w:eastAsia="ja-JP"/>
        </w:rPr>
        <w:t>:</w:t>
      </w:r>
    </w:p>
    <w:p w14:paraId="501A54FC" w14:textId="5E84E381" w:rsidR="00EE0DB7" w:rsidRDefault="002B7E68" w:rsidP="00CF7714">
      <w:pPr>
        <w:pStyle w:val="ListParagraph"/>
        <w:numPr>
          <w:ilvl w:val="0"/>
          <w:numId w:val="19"/>
        </w:numPr>
        <w:jc w:val="both"/>
        <w:rPr>
          <w:rFonts w:ascii="Arial" w:hAnsi="Arial" w:cs="Arial"/>
          <w:sz w:val="20"/>
          <w:szCs w:val="20"/>
          <w:lang w:val="en-GB" w:eastAsia="ja-JP"/>
        </w:rPr>
      </w:pPr>
      <w:r w:rsidRPr="005E2072">
        <w:rPr>
          <w:rFonts w:ascii="Arial" w:hAnsi="Arial" w:cs="Arial"/>
          <w:sz w:val="20"/>
          <w:szCs w:val="20"/>
          <w:lang w:val="en-GB" w:eastAsia="ja-JP"/>
        </w:rPr>
        <w:t>Msg3 or PUCCH in response to Msg4/MsgB is prioritized</w:t>
      </w:r>
      <w:r w:rsidR="00B23517">
        <w:rPr>
          <w:rFonts w:ascii="Arial" w:hAnsi="Arial" w:cs="Arial"/>
          <w:sz w:val="20"/>
          <w:szCs w:val="20"/>
          <w:lang w:val="en-GB" w:eastAsia="ja-JP"/>
        </w:rPr>
        <w:t>, or</w:t>
      </w:r>
    </w:p>
    <w:p w14:paraId="75638D37" w14:textId="7C81BA59" w:rsidR="00B23517" w:rsidRPr="00B23517" w:rsidRDefault="00B23517" w:rsidP="00CF7714">
      <w:pPr>
        <w:pStyle w:val="ListParagraph"/>
        <w:numPr>
          <w:ilvl w:val="0"/>
          <w:numId w:val="19"/>
        </w:numPr>
        <w:jc w:val="both"/>
        <w:rPr>
          <w:rFonts w:ascii="Arial" w:hAnsi="Arial" w:cs="Arial"/>
          <w:sz w:val="20"/>
          <w:szCs w:val="20"/>
          <w:lang w:val="en-GB" w:eastAsia="ja-JP"/>
        </w:rPr>
      </w:pPr>
      <w:r w:rsidRPr="005E2072">
        <w:rPr>
          <w:rFonts w:ascii="Arial" w:hAnsi="Arial" w:cs="Arial"/>
          <w:sz w:val="20"/>
          <w:szCs w:val="20"/>
          <w:lang w:val="en-GB" w:eastAsia="ja-JP"/>
        </w:rPr>
        <w:t>SSB is prioritized.</w:t>
      </w:r>
    </w:p>
    <w:p w14:paraId="545ADD7A" w14:textId="7A9F71D9" w:rsidR="002B7E68" w:rsidRPr="005E2072" w:rsidRDefault="002B7E68" w:rsidP="002B7E68">
      <w:pPr>
        <w:jc w:val="both"/>
        <w:rPr>
          <w:rFonts w:cs="Arial"/>
          <w:szCs w:val="20"/>
          <w:lang w:val="en-GB" w:eastAsia="ja-JP"/>
        </w:rPr>
      </w:pPr>
    </w:p>
    <w:p w14:paraId="4D0BFB91" w14:textId="0D2D2DFB" w:rsidR="002B7E68" w:rsidRPr="005E2072" w:rsidRDefault="002B7E68" w:rsidP="002B7E68">
      <w:pPr>
        <w:jc w:val="both"/>
        <w:rPr>
          <w:rFonts w:cs="Arial"/>
          <w:szCs w:val="20"/>
          <w:lang w:val="en-GB" w:eastAsia="ja-JP"/>
        </w:rPr>
      </w:pPr>
      <w:r w:rsidRPr="005E2072">
        <w:rPr>
          <w:rFonts w:cs="Arial"/>
          <w:szCs w:val="20"/>
          <w:lang w:val="en-GB" w:eastAsia="ja-JP"/>
        </w:rPr>
        <w:t xml:space="preserve">There are pros and cons for </w:t>
      </w:r>
      <w:r w:rsidR="0005004C">
        <w:rPr>
          <w:rFonts w:cs="Arial"/>
          <w:szCs w:val="20"/>
          <w:lang w:val="en-GB" w:eastAsia="ja-JP"/>
        </w:rPr>
        <w:t>these</w:t>
      </w:r>
      <w:r w:rsidRPr="005E2072">
        <w:rPr>
          <w:rFonts w:cs="Arial"/>
          <w:szCs w:val="20"/>
          <w:lang w:val="en-GB" w:eastAsia="ja-JP"/>
        </w:rPr>
        <w:t xml:space="preserve"> options as summarized below.</w:t>
      </w:r>
    </w:p>
    <w:tbl>
      <w:tblPr>
        <w:tblStyle w:val="TableGrid"/>
        <w:tblW w:w="0" w:type="auto"/>
        <w:tblLook w:val="04A0" w:firstRow="1" w:lastRow="0" w:firstColumn="1" w:lastColumn="0" w:noHBand="0" w:noVBand="1"/>
      </w:tblPr>
      <w:tblGrid>
        <w:gridCol w:w="3166"/>
        <w:gridCol w:w="3166"/>
        <w:gridCol w:w="3166"/>
      </w:tblGrid>
      <w:tr w:rsidR="002B7E68" w:rsidRPr="005E2072" w14:paraId="679BA440" w14:textId="77777777" w:rsidTr="009D1897">
        <w:trPr>
          <w:trHeight w:val="427"/>
        </w:trPr>
        <w:tc>
          <w:tcPr>
            <w:tcW w:w="3166" w:type="dxa"/>
            <w:shd w:val="clear" w:color="auto" w:fill="D9D9D9" w:themeFill="background1" w:themeFillShade="D9"/>
            <w:vAlign w:val="center"/>
          </w:tcPr>
          <w:p w14:paraId="5744EAAA" w14:textId="0730B3B3" w:rsidR="002B7E68" w:rsidRPr="00F536F2" w:rsidRDefault="002B7E68" w:rsidP="002C7DF0">
            <w:pPr>
              <w:jc w:val="center"/>
              <w:rPr>
                <w:rFonts w:cs="Arial"/>
                <w:b/>
                <w:bCs/>
                <w:sz w:val="20"/>
                <w:szCs w:val="18"/>
                <w:lang w:val="en-GB" w:eastAsia="ja-JP"/>
              </w:rPr>
            </w:pPr>
            <w:r w:rsidRPr="00F536F2">
              <w:rPr>
                <w:rFonts w:cs="Arial"/>
                <w:b/>
                <w:bCs/>
                <w:sz w:val="20"/>
                <w:szCs w:val="18"/>
                <w:lang w:val="en-GB" w:eastAsia="ja-JP"/>
              </w:rPr>
              <w:t>Options</w:t>
            </w:r>
          </w:p>
        </w:tc>
        <w:tc>
          <w:tcPr>
            <w:tcW w:w="3166" w:type="dxa"/>
            <w:shd w:val="clear" w:color="auto" w:fill="D9D9D9" w:themeFill="background1" w:themeFillShade="D9"/>
            <w:vAlign w:val="center"/>
          </w:tcPr>
          <w:p w14:paraId="09EB5753" w14:textId="74A8119C" w:rsidR="002B7E68" w:rsidRPr="00F536F2" w:rsidRDefault="002B7E68" w:rsidP="009D1897">
            <w:pPr>
              <w:jc w:val="center"/>
              <w:rPr>
                <w:rFonts w:cs="Arial"/>
                <w:b/>
                <w:bCs/>
                <w:sz w:val="20"/>
                <w:szCs w:val="18"/>
                <w:lang w:val="en-GB" w:eastAsia="ja-JP"/>
              </w:rPr>
            </w:pPr>
            <w:r w:rsidRPr="00F536F2">
              <w:rPr>
                <w:rFonts w:cs="Arial"/>
                <w:b/>
                <w:bCs/>
                <w:sz w:val="20"/>
                <w:szCs w:val="18"/>
                <w:lang w:val="en-GB" w:eastAsia="ja-JP"/>
              </w:rPr>
              <w:t>Schedul</w:t>
            </w:r>
            <w:r w:rsidR="006F04C4" w:rsidRPr="00F536F2">
              <w:rPr>
                <w:rFonts w:cs="Arial"/>
                <w:b/>
                <w:bCs/>
                <w:sz w:val="20"/>
                <w:szCs w:val="18"/>
                <w:lang w:val="en-GB" w:eastAsia="ja-JP"/>
              </w:rPr>
              <w:t>er/performance</w:t>
            </w:r>
            <w:r w:rsidRPr="00F536F2">
              <w:rPr>
                <w:rFonts w:cs="Arial"/>
                <w:b/>
                <w:bCs/>
                <w:sz w:val="20"/>
                <w:szCs w:val="18"/>
                <w:lang w:val="en-GB" w:eastAsia="ja-JP"/>
              </w:rPr>
              <w:t xml:space="preserve"> impacts</w:t>
            </w:r>
          </w:p>
        </w:tc>
        <w:tc>
          <w:tcPr>
            <w:tcW w:w="3166" w:type="dxa"/>
            <w:shd w:val="clear" w:color="auto" w:fill="D9D9D9" w:themeFill="background1" w:themeFillShade="D9"/>
            <w:vAlign w:val="center"/>
          </w:tcPr>
          <w:p w14:paraId="2481BD48" w14:textId="011DA780" w:rsidR="002B7E68" w:rsidRPr="00F536F2" w:rsidRDefault="002B7E68" w:rsidP="009D1897">
            <w:pPr>
              <w:jc w:val="center"/>
              <w:rPr>
                <w:rFonts w:cs="Arial"/>
                <w:b/>
                <w:bCs/>
                <w:sz w:val="20"/>
                <w:szCs w:val="18"/>
                <w:lang w:val="en-GB" w:eastAsia="ja-JP"/>
              </w:rPr>
            </w:pPr>
            <w:r w:rsidRPr="00F536F2">
              <w:rPr>
                <w:rFonts w:cs="Arial"/>
                <w:b/>
                <w:bCs/>
                <w:sz w:val="20"/>
                <w:szCs w:val="18"/>
                <w:lang w:val="en-GB" w:eastAsia="ja-JP"/>
              </w:rPr>
              <w:t>Spec impacts</w:t>
            </w:r>
          </w:p>
        </w:tc>
      </w:tr>
      <w:tr w:rsidR="00B23517" w:rsidRPr="005E2072" w14:paraId="281865C7" w14:textId="77777777" w:rsidTr="009D1897">
        <w:trPr>
          <w:trHeight w:val="436"/>
        </w:trPr>
        <w:tc>
          <w:tcPr>
            <w:tcW w:w="3166" w:type="dxa"/>
            <w:shd w:val="clear" w:color="auto" w:fill="D9D9D9" w:themeFill="background1" w:themeFillShade="D9"/>
          </w:tcPr>
          <w:p w14:paraId="183F454D" w14:textId="2C0CA7CD" w:rsidR="00B23517" w:rsidRPr="009D1897" w:rsidRDefault="00B23517" w:rsidP="00CF7714">
            <w:pPr>
              <w:pStyle w:val="ListParagraph"/>
              <w:numPr>
                <w:ilvl w:val="0"/>
                <w:numId w:val="20"/>
              </w:numPr>
              <w:rPr>
                <w:rFonts w:ascii="Arial" w:hAnsi="Arial" w:cs="Arial"/>
                <w:b/>
                <w:bCs/>
                <w:sz w:val="20"/>
                <w:szCs w:val="20"/>
                <w:lang w:val="en-GB" w:eastAsia="ja-JP"/>
              </w:rPr>
            </w:pPr>
            <w:r w:rsidRPr="009D1897">
              <w:rPr>
                <w:rFonts w:ascii="Arial" w:hAnsi="Arial" w:cs="Arial"/>
                <w:b/>
                <w:bCs/>
                <w:sz w:val="20"/>
                <w:szCs w:val="20"/>
                <w:lang w:val="en-GB" w:eastAsia="ja-JP"/>
              </w:rPr>
              <w:t>Prioritize Msg3 or PUCCH in response to Msg4/MsgB</w:t>
            </w:r>
          </w:p>
        </w:tc>
        <w:tc>
          <w:tcPr>
            <w:tcW w:w="3166" w:type="dxa"/>
          </w:tcPr>
          <w:p w14:paraId="4E524BFA" w14:textId="22FC1556" w:rsidR="00B23517" w:rsidRDefault="000D007B" w:rsidP="00B23517">
            <w:pPr>
              <w:rPr>
                <w:rFonts w:cs="Arial"/>
                <w:szCs w:val="20"/>
                <w:lang w:val="en-GB" w:eastAsia="ja-JP"/>
              </w:rPr>
            </w:pPr>
            <w:r>
              <w:rPr>
                <w:rFonts w:cs="Arial"/>
                <w:sz w:val="20"/>
                <w:szCs w:val="20"/>
                <w:lang w:val="en-GB" w:eastAsia="ja-JP"/>
              </w:rPr>
              <w:t xml:space="preserve">The </w:t>
            </w:r>
            <w:r w:rsidR="00B23517">
              <w:rPr>
                <w:rFonts w:cs="Arial"/>
                <w:sz w:val="20"/>
                <w:szCs w:val="20"/>
                <w:lang w:val="en-GB" w:eastAsia="ja-JP"/>
              </w:rPr>
              <w:t xml:space="preserve">gNB can schedule </w:t>
            </w:r>
            <w:r w:rsidR="00B23517" w:rsidRPr="005E2072">
              <w:rPr>
                <w:rFonts w:cs="Arial"/>
                <w:sz w:val="20"/>
                <w:szCs w:val="20"/>
                <w:lang w:val="en-GB" w:eastAsia="ja-JP"/>
              </w:rPr>
              <w:t>Msg3 or PUCCH in response to Msg4/MsgB</w:t>
            </w:r>
            <w:r w:rsidR="00B23517">
              <w:rPr>
                <w:rFonts w:cs="Arial"/>
                <w:sz w:val="20"/>
                <w:szCs w:val="20"/>
                <w:lang w:val="en-GB" w:eastAsia="ja-JP"/>
              </w:rPr>
              <w:t xml:space="preserve"> overlapping with SSB if needed; otherwise, it can avoid scheduling overlapping. There is no performance impact on FD-FDD UEs.</w:t>
            </w:r>
          </w:p>
        </w:tc>
        <w:tc>
          <w:tcPr>
            <w:tcW w:w="3166" w:type="dxa"/>
          </w:tcPr>
          <w:p w14:paraId="463987B8" w14:textId="5C72C346" w:rsidR="00B23517" w:rsidRDefault="009B1124" w:rsidP="00B23517">
            <w:pPr>
              <w:rPr>
                <w:rFonts w:cs="Arial"/>
                <w:szCs w:val="20"/>
                <w:lang w:val="en-GB" w:eastAsia="ja-JP"/>
              </w:rPr>
            </w:pPr>
            <w:r>
              <w:rPr>
                <w:rFonts w:cs="Arial"/>
                <w:sz w:val="20"/>
                <w:szCs w:val="20"/>
                <w:lang w:val="en-GB" w:eastAsia="ja-JP"/>
              </w:rPr>
              <w:t>A</w:t>
            </w:r>
            <w:r w:rsidR="00B23517">
              <w:rPr>
                <w:rFonts w:cs="Arial"/>
                <w:sz w:val="20"/>
                <w:szCs w:val="20"/>
                <w:lang w:val="en-GB" w:eastAsia="ja-JP"/>
              </w:rPr>
              <w:t xml:space="preserve"> new rule in</w:t>
            </w:r>
            <w:r>
              <w:rPr>
                <w:rFonts w:cs="Arial"/>
                <w:sz w:val="20"/>
                <w:szCs w:val="20"/>
                <w:lang w:val="en-GB" w:eastAsia="ja-JP"/>
              </w:rPr>
              <w:t xml:space="preserve"> the</w:t>
            </w:r>
            <w:r w:rsidR="00B23517">
              <w:rPr>
                <w:rFonts w:cs="Arial"/>
                <w:sz w:val="20"/>
                <w:szCs w:val="20"/>
                <w:lang w:val="en-GB" w:eastAsia="ja-JP"/>
              </w:rPr>
              <w:t xml:space="preserve"> specification</w:t>
            </w:r>
            <w:r>
              <w:rPr>
                <w:rFonts w:cs="Arial"/>
                <w:sz w:val="20"/>
                <w:szCs w:val="20"/>
                <w:lang w:val="en-GB" w:eastAsia="ja-JP"/>
              </w:rPr>
              <w:t xml:space="preserve"> is needed</w:t>
            </w:r>
            <w:r w:rsidR="00B23517">
              <w:rPr>
                <w:rFonts w:cs="Arial"/>
                <w:sz w:val="20"/>
                <w:szCs w:val="20"/>
                <w:lang w:val="en-GB" w:eastAsia="ja-JP"/>
              </w:rPr>
              <w:t xml:space="preserve"> for this particular sub-case. Essentially, this would lead to higher complexity.  </w:t>
            </w:r>
          </w:p>
        </w:tc>
      </w:tr>
      <w:tr w:rsidR="002B7E68" w:rsidRPr="005E2072" w14:paraId="34CE56FF" w14:textId="77777777" w:rsidTr="009D1897">
        <w:trPr>
          <w:trHeight w:val="436"/>
        </w:trPr>
        <w:tc>
          <w:tcPr>
            <w:tcW w:w="3166" w:type="dxa"/>
            <w:shd w:val="clear" w:color="auto" w:fill="D9D9D9" w:themeFill="background1" w:themeFillShade="D9"/>
          </w:tcPr>
          <w:p w14:paraId="58F91918" w14:textId="4A63E7A9" w:rsidR="002B7E68" w:rsidRPr="009D1897" w:rsidRDefault="002B7E68" w:rsidP="00CF7714">
            <w:pPr>
              <w:pStyle w:val="ListParagraph"/>
              <w:numPr>
                <w:ilvl w:val="0"/>
                <w:numId w:val="20"/>
              </w:numPr>
              <w:rPr>
                <w:rFonts w:ascii="Arial" w:hAnsi="Arial" w:cs="Arial"/>
                <w:b/>
                <w:bCs/>
                <w:sz w:val="20"/>
                <w:szCs w:val="20"/>
                <w:lang w:val="en-GB" w:eastAsia="ja-JP"/>
              </w:rPr>
            </w:pPr>
            <w:r w:rsidRPr="009D1897">
              <w:rPr>
                <w:rFonts w:ascii="Arial" w:hAnsi="Arial" w:cs="Arial"/>
                <w:b/>
                <w:bCs/>
                <w:sz w:val="20"/>
                <w:szCs w:val="20"/>
                <w:lang w:val="en-GB" w:eastAsia="ja-JP"/>
              </w:rPr>
              <w:t>Prioritize SSB</w:t>
            </w:r>
          </w:p>
        </w:tc>
        <w:tc>
          <w:tcPr>
            <w:tcW w:w="3166" w:type="dxa"/>
          </w:tcPr>
          <w:p w14:paraId="1215612C" w14:textId="0FAAABC9" w:rsidR="002B7E68" w:rsidRDefault="000D007B" w:rsidP="005E2072">
            <w:pPr>
              <w:rPr>
                <w:rFonts w:cs="Arial"/>
                <w:sz w:val="20"/>
                <w:szCs w:val="20"/>
                <w:lang w:val="en-GB" w:eastAsia="ja-JP"/>
              </w:rPr>
            </w:pPr>
            <w:r>
              <w:rPr>
                <w:rFonts w:cs="Arial"/>
                <w:sz w:val="20"/>
                <w:szCs w:val="20"/>
                <w:lang w:val="en-GB" w:eastAsia="ja-JP"/>
              </w:rPr>
              <w:t xml:space="preserve">The </w:t>
            </w:r>
            <w:r w:rsidR="0005004C">
              <w:rPr>
                <w:rFonts w:cs="Arial"/>
                <w:sz w:val="20"/>
                <w:szCs w:val="20"/>
                <w:lang w:val="en-GB" w:eastAsia="ja-JP"/>
              </w:rPr>
              <w:t>gNB a</w:t>
            </w:r>
            <w:r w:rsidR="005E2072">
              <w:rPr>
                <w:rFonts w:cs="Arial"/>
                <w:sz w:val="20"/>
                <w:szCs w:val="20"/>
                <w:lang w:val="en-GB" w:eastAsia="ja-JP"/>
              </w:rPr>
              <w:t>void</w:t>
            </w:r>
            <w:r w:rsidR="0005004C">
              <w:rPr>
                <w:rFonts w:cs="Arial"/>
                <w:sz w:val="20"/>
                <w:szCs w:val="20"/>
                <w:lang w:val="en-GB" w:eastAsia="ja-JP"/>
              </w:rPr>
              <w:t>s</w:t>
            </w:r>
            <w:r w:rsidR="005E2072">
              <w:rPr>
                <w:rFonts w:cs="Arial"/>
                <w:sz w:val="20"/>
                <w:szCs w:val="20"/>
                <w:lang w:val="en-GB" w:eastAsia="ja-JP"/>
              </w:rPr>
              <w:t xml:space="preserve"> scheduling </w:t>
            </w:r>
            <w:r w:rsidR="005E2072" w:rsidRPr="005E2072">
              <w:rPr>
                <w:rFonts w:cs="Arial"/>
                <w:sz w:val="20"/>
                <w:szCs w:val="20"/>
                <w:lang w:val="en-GB" w:eastAsia="ja-JP"/>
              </w:rPr>
              <w:t>Msg3 or PUCCH in response to Msg4/MsgB</w:t>
            </w:r>
            <w:r w:rsidR="005E2072">
              <w:rPr>
                <w:rFonts w:cs="Arial"/>
                <w:sz w:val="20"/>
                <w:szCs w:val="20"/>
                <w:lang w:val="en-GB" w:eastAsia="ja-JP"/>
              </w:rPr>
              <w:t xml:space="preserve"> overlapping with SSB</w:t>
            </w:r>
            <w:r w:rsidR="006F04C4">
              <w:rPr>
                <w:rFonts w:cs="Arial"/>
                <w:sz w:val="20"/>
                <w:szCs w:val="20"/>
                <w:lang w:val="en-GB" w:eastAsia="ja-JP"/>
              </w:rPr>
              <w:t>.</w:t>
            </w:r>
          </w:p>
          <w:p w14:paraId="6744927F" w14:textId="2D7898D9" w:rsidR="005E2072" w:rsidRPr="005E2072" w:rsidRDefault="005E2072" w:rsidP="005E2072">
            <w:pPr>
              <w:rPr>
                <w:rFonts w:cs="Arial"/>
                <w:sz w:val="20"/>
                <w:szCs w:val="20"/>
                <w:lang w:val="en-GB" w:eastAsia="ja-JP"/>
              </w:rPr>
            </w:pPr>
            <w:r>
              <w:rPr>
                <w:rFonts w:cs="Arial"/>
                <w:sz w:val="20"/>
                <w:szCs w:val="20"/>
                <w:lang w:val="en-GB" w:eastAsia="ja-JP"/>
              </w:rPr>
              <w:t>If HD-FDD capability is not known earlier than Msg3, the same scheduling behaviour is needed regardless of HD- or FD-FDD UEs. Th</w:t>
            </w:r>
            <w:r w:rsidR="006F04C4">
              <w:rPr>
                <w:rFonts w:cs="Arial"/>
                <w:sz w:val="20"/>
                <w:szCs w:val="20"/>
                <w:lang w:val="en-GB" w:eastAsia="ja-JP"/>
              </w:rPr>
              <w:t>us, th</w:t>
            </w:r>
            <w:r>
              <w:rPr>
                <w:rFonts w:cs="Arial"/>
                <w:sz w:val="20"/>
                <w:szCs w:val="20"/>
                <w:lang w:val="en-GB" w:eastAsia="ja-JP"/>
              </w:rPr>
              <w:t>ere can be some performance loss for FD-FDD UEs in terms of latency during random access procedure</w:t>
            </w:r>
            <w:r w:rsidR="0005004C">
              <w:rPr>
                <w:rFonts w:cs="Arial"/>
                <w:sz w:val="20"/>
                <w:szCs w:val="20"/>
                <w:lang w:val="en-GB" w:eastAsia="ja-JP"/>
              </w:rPr>
              <w:t xml:space="preserve">. </w:t>
            </w:r>
            <w:r w:rsidR="00FE01CE">
              <w:rPr>
                <w:rFonts w:cs="Arial"/>
                <w:sz w:val="20"/>
                <w:szCs w:val="20"/>
                <w:lang w:val="en-GB" w:eastAsia="ja-JP"/>
              </w:rPr>
              <w:t>H</w:t>
            </w:r>
            <w:r w:rsidR="0005004C">
              <w:rPr>
                <w:rFonts w:cs="Arial"/>
                <w:sz w:val="20"/>
                <w:szCs w:val="20"/>
                <w:lang w:val="en-GB" w:eastAsia="ja-JP"/>
              </w:rPr>
              <w:t>owever</w:t>
            </w:r>
            <w:r w:rsidR="00FE01CE">
              <w:rPr>
                <w:rFonts w:cs="Arial"/>
                <w:sz w:val="20"/>
                <w:szCs w:val="20"/>
                <w:lang w:val="en-GB" w:eastAsia="ja-JP"/>
              </w:rPr>
              <w:t xml:space="preserve">, </w:t>
            </w:r>
            <w:r w:rsidR="002B175C">
              <w:rPr>
                <w:rFonts w:cs="Arial"/>
                <w:sz w:val="20"/>
                <w:szCs w:val="20"/>
                <w:lang w:val="en-GB" w:eastAsia="ja-JP"/>
              </w:rPr>
              <w:t>with</w:t>
            </w:r>
            <w:r w:rsidR="00FC600F">
              <w:rPr>
                <w:rFonts w:cs="Arial"/>
                <w:sz w:val="20"/>
                <w:szCs w:val="20"/>
                <w:lang w:val="en-GB" w:eastAsia="ja-JP"/>
              </w:rPr>
              <w:t xml:space="preserve"> typical</w:t>
            </w:r>
            <w:r w:rsidR="002B175C">
              <w:rPr>
                <w:rFonts w:cs="Arial"/>
                <w:sz w:val="20"/>
                <w:szCs w:val="20"/>
                <w:lang w:val="en-GB" w:eastAsia="ja-JP"/>
              </w:rPr>
              <w:t xml:space="preserve"> SSB configuration in FDD, </w:t>
            </w:r>
            <w:r w:rsidR="00FE01CE">
              <w:rPr>
                <w:rFonts w:cs="Arial"/>
                <w:sz w:val="20"/>
                <w:szCs w:val="20"/>
                <w:lang w:val="en-GB" w:eastAsia="ja-JP"/>
              </w:rPr>
              <w:t xml:space="preserve">this </w:t>
            </w:r>
            <w:r w:rsidR="00FC600F">
              <w:rPr>
                <w:rFonts w:cs="Arial"/>
                <w:sz w:val="20"/>
                <w:szCs w:val="20"/>
                <w:lang w:val="en-GB" w:eastAsia="ja-JP"/>
              </w:rPr>
              <w:t xml:space="preserve">may be </w:t>
            </w:r>
            <w:r w:rsidR="002B175C">
              <w:rPr>
                <w:rFonts w:cs="Arial"/>
                <w:sz w:val="20"/>
                <w:szCs w:val="20"/>
                <w:lang w:val="en-GB" w:eastAsia="ja-JP"/>
              </w:rPr>
              <w:t>limited to up to 1 slot</w:t>
            </w:r>
            <w:r>
              <w:rPr>
                <w:rFonts w:cs="Arial"/>
                <w:sz w:val="20"/>
                <w:szCs w:val="20"/>
                <w:lang w:val="en-GB" w:eastAsia="ja-JP"/>
              </w:rPr>
              <w:t>.</w:t>
            </w:r>
          </w:p>
        </w:tc>
        <w:tc>
          <w:tcPr>
            <w:tcW w:w="3166" w:type="dxa"/>
          </w:tcPr>
          <w:p w14:paraId="4CB4F7BD" w14:textId="3A9F7AF5" w:rsidR="002B7E68" w:rsidRPr="005E2072" w:rsidRDefault="005E2072" w:rsidP="005E2072">
            <w:pPr>
              <w:rPr>
                <w:rFonts w:cs="Arial"/>
                <w:sz w:val="20"/>
                <w:szCs w:val="20"/>
                <w:lang w:val="en-GB" w:eastAsia="ja-JP"/>
              </w:rPr>
            </w:pPr>
            <w:r>
              <w:rPr>
                <w:rFonts w:cs="Arial"/>
                <w:sz w:val="20"/>
                <w:szCs w:val="20"/>
                <w:lang w:val="en-GB" w:eastAsia="ja-JP"/>
              </w:rPr>
              <w:t xml:space="preserve">The same rule as </w:t>
            </w:r>
            <w:r w:rsidR="00CE5FF0">
              <w:rPr>
                <w:rFonts w:cs="Arial"/>
                <w:sz w:val="20"/>
                <w:szCs w:val="20"/>
                <w:lang w:val="en-GB" w:eastAsia="ja-JP"/>
              </w:rPr>
              <w:t xml:space="preserve">for the </w:t>
            </w:r>
            <w:r>
              <w:rPr>
                <w:rFonts w:cs="Arial"/>
                <w:sz w:val="20"/>
                <w:szCs w:val="20"/>
                <w:lang w:val="en-GB" w:eastAsia="ja-JP"/>
              </w:rPr>
              <w:t>other subcases can be reused.</w:t>
            </w:r>
          </w:p>
        </w:tc>
      </w:tr>
    </w:tbl>
    <w:p w14:paraId="51DF8093" w14:textId="4DEE60FF" w:rsidR="002B7E68" w:rsidRPr="002B7E68" w:rsidRDefault="002B7E68" w:rsidP="002B7E68">
      <w:pPr>
        <w:jc w:val="both"/>
        <w:rPr>
          <w:lang w:val="en-GB" w:eastAsia="ja-JP"/>
        </w:rPr>
      </w:pPr>
      <w:r w:rsidRPr="002B7E68">
        <w:rPr>
          <w:lang w:val="en-GB" w:eastAsia="ja-JP"/>
        </w:rPr>
        <w:t xml:space="preserve"> </w:t>
      </w:r>
    </w:p>
    <w:p w14:paraId="2FFE4757" w14:textId="400F27A7" w:rsidR="004002A1" w:rsidRDefault="006F04C4" w:rsidP="00B86402">
      <w:pPr>
        <w:jc w:val="both"/>
        <w:rPr>
          <w:lang w:val="en-GB" w:eastAsia="ja-JP"/>
        </w:rPr>
      </w:pPr>
      <w:r>
        <w:rPr>
          <w:lang w:val="en-GB" w:eastAsia="ja-JP"/>
        </w:rPr>
        <w:lastRenderedPageBreak/>
        <w:t xml:space="preserve">Previously, we </w:t>
      </w:r>
      <w:r w:rsidR="00B23517">
        <w:rPr>
          <w:lang w:val="en-GB" w:eastAsia="ja-JP"/>
        </w:rPr>
        <w:t>preferred</w:t>
      </w:r>
      <w:r>
        <w:rPr>
          <w:lang w:val="en-GB" w:eastAsia="ja-JP"/>
        </w:rPr>
        <w:t xml:space="preserve"> Option </w:t>
      </w:r>
      <w:r w:rsidR="00B23517">
        <w:rPr>
          <w:lang w:val="en-GB" w:eastAsia="ja-JP"/>
        </w:rPr>
        <w:t>1</w:t>
      </w:r>
      <w:r w:rsidR="0005004C">
        <w:rPr>
          <w:lang w:val="en-GB" w:eastAsia="ja-JP"/>
        </w:rPr>
        <w:t xml:space="preserve"> (prioritizing UL)</w:t>
      </w:r>
      <w:r>
        <w:rPr>
          <w:lang w:val="en-GB" w:eastAsia="ja-JP"/>
        </w:rPr>
        <w:t xml:space="preserve"> for all subcases as </w:t>
      </w:r>
      <w:r w:rsidR="00B8153A">
        <w:rPr>
          <w:lang w:val="en-GB" w:eastAsia="ja-JP"/>
        </w:rPr>
        <w:t xml:space="preserve">a unified solution which </w:t>
      </w:r>
      <w:r>
        <w:rPr>
          <w:lang w:val="en-GB" w:eastAsia="ja-JP"/>
        </w:rPr>
        <w:t xml:space="preserve">provides flexibility for </w:t>
      </w:r>
      <w:r w:rsidR="0005004C">
        <w:rPr>
          <w:lang w:val="en-GB" w:eastAsia="ja-JP"/>
        </w:rPr>
        <w:t xml:space="preserve">the </w:t>
      </w:r>
      <w:r>
        <w:rPr>
          <w:lang w:val="en-GB" w:eastAsia="ja-JP"/>
        </w:rPr>
        <w:t xml:space="preserve">scheduler. However, since RAN1 has already agreed to support Option </w:t>
      </w:r>
      <w:r w:rsidR="00B23517">
        <w:rPr>
          <w:lang w:val="en-GB" w:eastAsia="ja-JP"/>
        </w:rPr>
        <w:t>2</w:t>
      </w:r>
      <w:r>
        <w:rPr>
          <w:lang w:val="en-GB" w:eastAsia="ja-JP"/>
        </w:rPr>
        <w:t xml:space="preserve"> for the cases of SSB vs. dynamic UL (except Msg3 or PUCCH for MSg4), it might be better to</w:t>
      </w:r>
      <w:r w:rsidR="00B8153A">
        <w:rPr>
          <w:lang w:val="en-GB" w:eastAsia="ja-JP"/>
        </w:rPr>
        <w:t xml:space="preserve"> go for Option </w:t>
      </w:r>
      <w:r w:rsidR="00B23517">
        <w:rPr>
          <w:lang w:val="en-GB" w:eastAsia="ja-JP"/>
        </w:rPr>
        <w:t>2</w:t>
      </w:r>
      <w:r w:rsidR="00B8153A">
        <w:rPr>
          <w:lang w:val="en-GB" w:eastAsia="ja-JP"/>
        </w:rPr>
        <w:t xml:space="preserve"> to </w:t>
      </w:r>
      <w:r w:rsidR="0005004C">
        <w:rPr>
          <w:lang w:val="en-GB" w:eastAsia="ja-JP"/>
        </w:rPr>
        <w:t xml:space="preserve">have a unified solution and </w:t>
      </w:r>
      <w:r w:rsidR="00B8153A">
        <w:rPr>
          <w:lang w:val="en-GB" w:eastAsia="ja-JP"/>
        </w:rPr>
        <w:t xml:space="preserve">avoid increased complexity. In our view, the potential latency impact during random access procedure associated with Option </w:t>
      </w:r>
      <w:r w:rsidR="00B23517">
        <w:rPr>
          <w:lang w:val="en-GB" w:eastAsia="ja-JP"/>
        </w:rPr>
        <w:t>2</w:t>
      </w:r>
      <w:r w:rsidR="00B8153A">
        <w:rPr>
          <w:lang w:val="en-GB" w:eastAsia="ja-JP"/>
        </w:rPr>
        <w:t xml:space="preserve"> in case of no early HD-FDD capability indication </w:t>
      </w:r>
      <w:r w:rsidR="00576812">
        <w:rPr>
          <w:lang w:val="en-GB" w:eastAsia="ja-JP"/>
        </w:rPr>
        <w:t>may be</w:t>
      </w:r>
      <w:r w:rsidR="00B8153A">
        <w:rPr>
          <w:lang w:val="en-GB" w:eastAsia="ja-JP"/>
        </w:rPr>
        <w:t xml:space="preserve"> </w:t>
      </w:r>
      <w:r w:rsidR="00FC600F">
        <w:rPr>
          <w:lang w:val="en-GB" w:eastAsia="ja-JP"/>
        </w:rPr>
        <w:t>limited, e.g., up to 1 slot</w:t>
      </w:r>
      <w:r w:rsidR="00576812">
        <w:rPr>
          <w:lang w:val="en-GB" w:eastAsia="ja-JP"/>
        </w:rPr>
        <w:t>.</w:t>
      </w:r>
    </w:p>
    <w:p w14:paraId="225F9D84" w14:textId="5FDBA5E6" w:rsidR="00B8153A" w:rsidRDefault="00B8153A" w:rsidP="00291F38">
      <w:pPr>
        <w:pStyle w:val="Observation"/>
        <w:numPr>
          <w:ilvl w:val="0"/>
          <w:numId w:val="4"/>
        </w:numPr>
        <w:ind w:left="1701" w:hanging="1701"/>
        <w:jc w:val="both"/>
      </w:pPr>
      <w:bookmarkStart w:id="1" w:name="_Toc95764397"/>
      <w:r>
        <w:t>O</w:t>
      </w:r>
      <w:r w:rsidRPr="00576467">
        <w:t xml:space="preserve">ption </w:t>
      </w:r>
      <w:r w:rsidR="00B23517">
        <w:t>1</w:t>
      </w:r>
      <w:r>
        <w:t xml:space="preserve"> (</w:t>
      </w:r>
      <w:r>
        <w:rPr>
          <w:rFonts w:cs="Arial"/>
          <w:szCs w:val="20"/>
        </w:rPr>
        <w:t>p</w:t>
      </w:r>
      <w:r w:rsidRPr="005E2072">
        <w:rPr>
          <w:rFonts w:cs="Arial"/>
          <w:szCs w:val="20"/>
        </w:rPr>
        <w:t>rioritize Msg3 or PUCCH in response to Msg4/MsgB</w:t>
      </w:r>
      <w:r>
        <w:t>) has benefit</w:t>
      </w:r>
      <w:r w:rsidR="00291F38">
        <w:t xml:space="preserve"> in terms of scheduling flexibility</w:t>
      </w:r>
      <w:r>
        <w:t xml:space="preserve">. However, it is a different solution than </w:t>
      </w:r>
      <w:r w:rsidR="00291F38">
        <w:t xml:space="preserve">that of </w:t>
      </w:r>
      <w:r>
        <w:t xml:space="preserve">other sub-cases, leading to </w:t>
      </w:r>
      <w:r w:rsidR="00291F38">
        <w:t xml:space="preserve">more </w:t>
      </w:r>
      <w:r>
        <w:t>spec impact and increased complexity.</w:t>
      </w:r>
      <w:bookmarkEnd w:id="1"/>
      <w:r>
        <w:t xml:space="preserve"> </w:t>
      </w:r>
    </w:p>
    <w:p w14:paraId="0878441F" w14:textId="2AD93727" w:rsidR="00B23517" w:rsidRPr="00B8153A" w:rsidRDefault="00B23517" w:rsidP="00B23517">
      <w:pPr>
        <w:pStyle w:val="Observation"/>
        <w:numPr>
          <w:ilvl w:val="0"/>
          <w:numId w:val="4"/>
        </w:numPr>
        <w:ind w:left="1701" w:hanging="1701"/>
        <w:jc w:val="both"/>
      </w:pPr>
      <w:bookmarkStart w:id="2" w:name="_Toc95764398"/>
      <w:r w:rsidRPr="00576467">
        <w:t xml:space="preserve">Option </w:t>
      </w:r>
      <w:r>
        <w:t xml:space="preserve">2 (prioritize SSB) has benefit of achieving a unified solution and less specification impacts. The potential latency impact may be </w:t>
      </w:r>
      <w:r w:rsidR="00FC600F">
        <w:t>limited</w:t>
      </w:r>
      <w:r>
        <w:t>.</w:t>
      </w:r>
      <w:bookmarkEnd w:id="2"/>
      <w:r>
        <w:t xml:space="preserve"> </w:t>
      </w:r>
    </w:p>
    <w:p w14:paraId="38D756B6" w14:textId="402134D2" w:rsidR="00B8153A" w:rsidRPr="00B8153A" w:rsidRDefault="00B8153A" w:rsidP="00B86402">
      <w:pPr>
        <w:pStyle w:val="Proposal"/>
        <w:tabs>
          <w:tab w:val="clear" w:pos="1304"/>
        </w:tabs>
        <w:ind w:left="1701" w:hanging="1701"/>
      </w:pPr>
      <w:bookmarkStart w:id="3" w:name="_Toc95764399"/>
      <w:r>
        <w:t xml:space="preserve">For </w:t>
      </w:r>
      <w:r w:rsidR="001924DC">
        <w:t xml:space="preserve">the </w:t>
      </w:r>
      <w:r>
        <w:t xml:space="preserve">collision between SSB and </w:t>
      </w:r>
      <w:r w:rsidRPr="005E2072">
        <w:rPr>
          <w:rFonts w:cs="Arial"/>
          <w:szCs w:val="20"/>
          <w:lang w:val="en-GB" w:eastAsia="ja-JP"/>
        </w:rPr>
        <w:t>Msg3 or PUCCH in response to Msg4/MsgB</w:t>
      </w:r>
      <w:r>
        <w:rPr>
          <w:lang w:val="en-GB"/>
        </w:rPr>
        <w:t xml:space="preserve">, </w:t>
      </w:r>
      <w:r w:rsidR="001924DC">
        <w:t>support</w:t>
      </w:r>
      <w:r>
        <w:t xml:space="preserve"> Option </w:t>
      </w:r>
      <w:r w:rsidR="00B23517">
        <w:t>2</w:t>
      </w:r>
      <w:r w:rsidR="001924DC">
        <w:t>, i.e., UE</w:t>
      </w:r>
      <w:r>
        <w:t xml:space="preserve"> </w:t>
      </w:r>
      <w:r w:rsidR="001924DC">
        <w:t>prioritizes</w:t>
      </w:r>
      <w:r>
        <w:rPr>
          <w:lang w:val="en-GB" w:eastAsia="ja-JP"/>
        </w:rPr>
        <w:t xml:space="preserve"> </w:t>
      </w:r>
      <w:r w:rsidRPr="00092BC1">
        <w:rPr>
          <w:rFonts w:cs="Arial"/>
          <w:szCs w:val="20"/>
          <w:lang w:eastAsia="ja-JP"/>
        </w:rPr>
        <w:t xml:space="preserve">SSB </w:t>
      </w:r>
      <w:r w:rsidR="001924DC">
        <w:rPr>
          <w:rFonts w:cs="Arial"/>
          <w:szCs w:val="20"/>
          <w:lang w:eastAsia="ja-JP"/>
        </w:rPr>
        <w:t>and does not transmit</w:t>
      </w:r>
      <w:r>
        <w:t xml:space="preserve"> </w:t>
      </w:r>
      <w:r w:rsidR="001924DC" w:rsidRPr="005E2072">
        <w:rPr>
          <w:rFonts w:cs="Arial"/>
          <w:szCs w:val="20"/>
          <w:lang w:val="en-GB" w:eastAsia="ja-JP"/>
        </w:rPr>
        <w:t>Msg3 or PUCCH in response to Msg4/MsgB</w:t>
      </w:r>
      <w:r w:rsidR="001924DC">
        <w:rPr>
          <w:rFonts w:cs="Arial"/>
          <w:szCs w:val="20"/>
          <w:lang w:val="en-GB" w:eastAsia="ja-JP"/>
        </w:rPr>
        <w:t>.</w:t>
      </w:r>
      <w:bookmarkEnd w:id="3"/>
    </w:p>
    <w:p w14:paraId="6ACFCEC7" w14:textId="10085D67" w:rsidR="009F2ADF" w:rsidRDefault="009F2ADF" w:rsidP="00B86402">
      <w:pPr>
        <w:jc w:val="both"/>
        <w:rPr>
          <w:lang w:val="en-GB" w:eastAsia="ja-JP"/>
        </w:rPr>
      </w:pPr>
    </w:p>
    <w:p w14:paraId="37EB5693" w14:textId="71A45792" w:rsidR="00C01F33" w:rsidRPr="00AA1454" w:rsidRDefault="00EE73B8" w:rsidP="00B86402">
      <w:pPr>
        <w:pStyle w:val="Heading1"/>
        <w:jc w:val="both"/>
        <w:rPr>
          <w:lang w:val="en-US"/>
        </w:rPr>
      </w:pPr>
      <w:r>
        <w:rPr>
          <w:lang w:val="en-US"/>
        </w:rPr>
        <w:t>3</w:t>
      </w:r>
      <w:r w:rsidR="005B7323" w:rsidRPr="00AA1454">
        <w:rPr>
          <w:lang w:val="en-US"/>
        </w:rPr>
        <w:tab/>
      </w:r>
      <w:r w:rsidR="00C01F33" w:rsidRPr="00AA1454">
        <w:rPr>
          <w:lang w:val="en-US"/>
        </w:rPr>
        <w:t>Conclusion</w:t>
      </w:r>
    </w:p>
    <w:p w14:paraId="5A650F21" w14:textId="77777777" w:rsidR="008E065E" w:rsidRPr="00AA1454" w:rsidRDefault="008E065E" w:rsidP="00B86402">
      <w:pPr>
        <w:pStyle w:val="BodyText"/>
        <w:rPr>
          <w:b/>
          <w:bCs/>
        </w:rPr>
      </w:pPr>
      <w:r w:rsidRPr="00AA1454">
        <w:t xml:space="preserve">In </w:t>
      </w:r>
      <w:r w:rsidR="007729A2" w:rsidRPr="00AA1454">
        <w:t xml:space="preserve">the previous </w:t>
      </w:r>
      <w:r w:rsidRPr="00AA1454">
        <w:t>section</w:t>
      </w:r>
      <w:r w:rsidR="007729A2" w:rsidRPr="00AA1454">
        <w:t>s</w:t>
      </w:r>
      <w:r w:rsidRPr="00AA1454">
        <w:t xml:space="preserve"> we made the following observations:</w:t>
      </w:r>
      <w:r w:rsidR="00C93814" w:rsidRPr="00AA1454">
        <w:rPr>
          <w:b/>
          <w:bCs/>
        </w:rPr>
        <w:t xml:space="preserve"> </w:t>
      </w:r>
    </w:p>
    <w:p w14:paraId="06EEACC2" w14:textId="758FDFB9" w:rsidR="00872C01" w:rsidRDefault="006F6582">
      <w:pPr>
        <w:pStyle w:val="TableofFigures"/>
        <w:tabs>
          <w:tab w:val="right" w:leader="dot" w:pos="9629"/>
        </w:tabs>
        <w:rPr>
          <w:rFonts w:asciiTheme="minorHAnsi" w:eastAsiaTheme="minorEastAsia" w:hAnsiTheme="minorHAnsi"/>
          <w:b w:val="0"/>
          <w:noProof/>
          <w:sz w:val="22"/>
          <w:lang w:val="sv-SE" w:eastAsia="sv-SE"/>
        </w:rPr>
      </w:pPr>
      <w:r w:rsidRPr="00B86402">
        <w:rPr>
          <w:rFonts w:cs="Arial"/>
          <w:b w:val="0"/>
          <w:bCs/>
          <w:szCs w:val="20"/>
        </w:rPr>
        <w:fldChar w:fldCharType="begin"/>
      </w:r>
      <w:r w:rsidRPr="00B86402">
        <w:rPr>
          <w:rFonts w:cs="Arial"/>
          <w:b w:val="0"/>
          <w:bCs/>
          <w:szCs w:val="20"/>
        </w:rPr>
        <w:instrText xml:space="preserve"> TOC \f O \n \h \z \t "Observation" \c </w:instrText>
      </w:r>
      <w:r w:rsidRPr="00B86402">
        <w:rPr>
          <w:rFonts w:cs="Arial"/>
          <w:b w:val="0"/>
          <w:bCs/>
          <w:szCs w:val="20"/>
        </w:rPr>
        <w:fldChar w:fldCharType="separate"/>
      </w:r>
      <w:hyperlink w:anchor="_Toc95764397" w:history="1">
        <w:r w:rsidR="00872C01" w:rsidRPr="000010AB">
          <w:rPr>
            <w:rStyle w:val="Hyperlink"/>
            <w:noProof/>
          </w:rPr>
          <w:t>Observation 1</w:t>
        </w:r>
        <w:r w:rsidR="00872C01">
          <w:rPr>
            <w:rFonts w:asciiTheme="minorHAnsi" w:eastAsiaTheme="minorEastAsia" w:hAnsiTheme="minorHAnsi"/>
            <w:b w:val="0"/>
            <w:noProof/>
            <w:sz w:val="22"/>
            <w:lang w:val="sv-SE" w:eastAsia="sv-SE"/>
          </w:rPr>
          <w:tab/>
        </w:r>
        <w:r w:rsidR="00872C01" w:rsidRPr="000010AB">
          <w:rPr>
            <w:rStyle w:val="Hyperlink"/>
            <w:noProof/>
          </w:rPr>
          <w:t>Option 1 (</w:t>
        </w:r>
        <w:r w:rsidR="00872C01" w:rsidRPr="000010AB">
          <w:rPr>
            <w:rStyle w:val="Hyperlink"/>
            <w:rFonts w:cs="Arial"/>
            <w:noProof/>
          </w:rPr>
          <w:t>prioritize Msg3 or PUCCH in response to Msg4/MsgB</w:t>
        </w:r>
        <w:r w:rsidR="00872C01" w:rsidRPr="000010AB">
          <w:rPr>
            <w:rStyle w:val="Hyperlink"/>
            <w:noProof/>
          </w:rPr>
          <w:t>) has benefit in terms of scheduling flexibility. However, it is a different solution than that of other sub-cases, leading to more spec impact and increased complexity.</w:t>
        </w:r>
      </w:hyperlink>
    </w:p>
    <w:p w14:paraId="0D664BB2" w14:textId="693C2DCE" w:rsidR="00872C01" w:rsidRDefault="00872C01">
      <w:pPr>
        <w:pStyle w:val="TableofFigures"/>
        <w:tabs>
          <w:tab w:val="right" w:leader="dot" w:pos="9629"/>
        </w:tabs>
        <w:rPr>
          <w:rFonts w:asciiTheme="minorHAnsi" w:eastAsiaTheme="minorEastAsia" w:hAnsiTheme="minorHAnsi"/>
          <w:b w:val="0"/>
          <w:noProof/>
          <w:sz w:val="22"/>
          <w:lang w:val="sv-SE" w:eastAsia="sv-SE"/>
        </w:rPr>
      </w:pPr>
      <w:hyperlink w:anchor="_Toc95764398" w:history="1">
        <w:r w:rsidRPr="000010AB">
          <w:rPr>
            <w:rStyle w:val="Hyperlink"/>
            <w:noProof/>
          </w:rPr>
          <w:t>Observation 2</w:t>
        </w:r>
        <w:r>
          <w:rPr>
            <w:rFonts w:asciiTheme="minorHAnsi" w:eastAsiaTheme="minorEastAsia" w:hAnsiTheme="minorHAnsi"/>
            <w:b w:val="0"/>
            <w:noProof/>
            <w:sz w:val="22"/>
            <w:lang w:val="sv-SE" w:eastAsia="sv-SE"/>
          </w:rPr>
          <w:tab/>
        </w:r>
        <w:r w:rsidRPr="000010AB">
          <w:rPr>
            <w:rStyle w:val="Hyperlink"/>
            <w:noProof/>
          </w:rPr>
          <w:t>Option 2 (prioritize SSB) has benefit of achieving a unified solution and less specification impacts. The potential latency impact may be limited.</w:t>
        </w:r>
      </w:hyperlink>
    </w:p>
    <w:p w14:paraId="7D91EC5D" w14:textId="2872AE80" w:rsidR="006E1C82" w:rsidRPr="00B86402" w:rsidRDefault="006F6582" w:rsidP="00B86402">
      <w:pPr>
        <w:pStyle w:val="BodyText"/>
        <w:rPr>
          <w:rFonts w:cs="Arial"/>
          <w:b/>
          <w:bCs/>
          <w:szCs w:val="20"/>
        </w:rPr>
      </w:pPr>
      <w:r w:rsidRPr="00B86402">
        <w:rPr>
          <w:rFonts w:cs="Arial"/>
          <w:b/>
          <w:bCs/>
          <w:szCs w:val="20"/>
        </w:rPr>
        <w:fldChar w:fldCharType="end"/>
      </w:r>
    </w:p>
    <w:p w14:paraId="6225A1B8" w14:textId="77777777" w:rsidR="006E1C82" w:rsidRPr="00B86402" w:rsidRDefault="008E065E" w:rsidP="00B86402">
      <w:pPr>
        <w:pStyle w:val="BodyText"/>
        <w:rPr>
          <w:rFonts w:cs="Arial"/>
          <w:szCs w:val="20"/>
        </w:rPr>
      </w:pPr>
      <w:r w:rsidRPr="00B86402">
        <w:rPr>
          <w:rFonts w:cs="Arial"/>
          <w:szCs w:val="20"/>
        </w:rPr>
        <w:t xml:space="preserve">Based on the discussion in </w:t>
      </w:r>
      <w:r w:rsidR="007729A2" w:rsidRPr="00B86402">
        <w:rPr>
          <w:rFonts w:cs="Arial"/>
          <w:szCs w:val="20"/>
        </w:rPr>
        <w:t xml:space="preserve">the previous </w:t>
      </w:r>
      <w:r w:rsidRPr="00B86402">
        <w:rPr>
          <w:rFonts w:cs="Arial"/>
          <w:szCs w:val="20"/>
        </w:rPr>
        <w:t>section</w:t>
      </w:r>
      <w:r w:rsidR="007729A2" w:rsidRPr="00B86402">
        <w:rPr>
          <w:rFonts w:cs="Arial"/>
          <w:szCs w:val="20"/>
        </w:rPr>
        <w:t>s</w:t>
      </w:r>
      <w:r w:rsidRPr="00B86402">
        <w:rPr>
          <w:rFonts w:cs="Arial"/>
          <w:szCs w:val="20"/>
        </w:rPr>
        <w:t xml:space="preserve"> we propose the following:</w:t>
      </w:r>
    </w:p>
    <w:p w14:paraId="20D180D5" w14:textId="77777777" w:rsidR="00872C01" w:rsidRDefault="006E1C82">
      <w:pPr>
        <w:pStyle w:val="TableofFigures"/>
        <w:tabs>
          <w:tab w:val="right" w:leader="dot" w:pos="9629"/>
        </w:tabs>
        <w:rPr>
          <w:rFonts w:asciiTheme="minorHAnsi" w:eastAsiaTheme="minorEastAsia" w:hAnsiTheme="minorHAnsi"/>
          <w:b w:val="0"/>
          <w:noProof/>
          <w:sz w:val="22"/>
          <w:lang w:val="sv-SE" w:eastAsia="sv-SE"/>
        </w:rPr>
      </w:pPr>
      <w:r w:rsidRPr="00B86402">
        <w:rPr>
          <w:rFonts w:cs="Arial"/>
          <w:b w:val="0"/>
          <w:bCs/>
          <w:szCs w:val="20"/>
        </w:rPr>
        <w:fldChar w:fldCharType="begin"/>
      </w:r>
      <w:r w:rsidRPr="00B86402">
        <w:rPr>
          <w:rFonts w:cs="Arial"/>
          <w:b w:val="0"/>
          <w:bCs/>
          <w:szCs w:val="20"/>
        </w:rPr>
        <w:instrText xml:space="preserve"> TOC \n \h \z \t "Proposal" \c </w:instrText>
      </w:r>
      <w:r w:rsidRPr="00B86402">
        <w:rPr>
          <w:rFonts w:cs="Arial"/>
          <w:b w:val="0"/>
          <w:bCs/>
          <w:szCs w:val="20"/>
        </w:rPr>
        <w:fldChar w:fldCharType="separate"/>
      </w:r>
      <w:hyperlink w:anchor="_Toc95764399" w:history="1">
        <w:r w:rsidR="00872C01" w:rsidRPr="004C4CEF">
          <w:rPr>
            <w:rStyle w:val="Hyperlink"/>
            <w:noProof/>
          </w:rPr>
          <w:t>Proposal 1</w:t>
        </w:r>
        <w:r w:rsidR="00872C01">
          <w:rPr>
            <w:rFonts w:asciiTheme="minorHAnsi" w:eastAsiaTheme="minorEastAsia" w:hAnsiTheme="minorHAnsi"/>
            <w:b w:val="0"/>
            <w:noProof/>
            <w:sz w:val="22"/>
            <w:lang w:val="sv-SE" w:eastAsia="sv-SE"/>
          </w:rPr>
          <w:tab/>
        </w:r>
        <w:r w:rsidR="00872C01" w:rsidRPr="004C4CEF">
          <w:rPr>
            <w:rStyle w:val="Hyperlink"/>
            <w:noProof/>
          </w:rPr>
          <w:t xml:space="preserve">For the collision between SSB and </w:t>
        </w:r>
        <w:r w:rsidR="00872C01" w:rsidRPr="004C4CEF">
          <w:rPr>
            <w:rStyle w:val="Hyperlink"/>
            <w:rFonts w:cs="Arial"/>
            <w:noProof/>
            <w:lang w:val="en-GB" w:eastAsia="ja-JP"/>
          </w:rPr>
          <w:t>Msg3 or PUCCH in response to Msg4/MsgB</w:t>
        </w:r>
        <w:r w:rsidR="00872C01" w:rsidRPr="004C4CEF">
          <w:rPr>
            <w:rStyle w:val="Hyperlink"/>
            <w:noProof/>
            <w:lang w:val="en-GB"/>
          </w:rPr>
          <w:t xml:space="preserve">, </w:t>
        </w:r>
        <w:r w:rsidR="00872C01" w:rsidRPr="004C4CEF">
          <w:rPr>
            <w:rStyle w:val="Hyperlink"/>
            <w:noProof/>
          </w:rPr>
          <w:t>support Option 2, i.e., UE prioritizes</w:t>
        </w:r>
        <w:r w:rsidR="00872C01" w:rsidRPr="004C4CEF">
          <w:rPr>
            <w:rStyle w:val="Hyperlink"/>
            <w:noProof/>
            <w:lang w:val="en-GB" w:eastAsia="ja-JP"/>
          </w:rPr>
          <w:t xml:space="preserve"> </w:t>
        </w:r>
        <w:r w:rsidR="00872C01" w:rsidRPr="004C4CEF">
          <w:rPr>
            <w:rStyle w:val="Hyperlink"/>
            <w:rFonts w:cs="Arial"/>
            <w:noProof/>
            <w:lang w:eastAsia="ja-JP"/>
          </w:rPr>
          <w:t>SSB and does not transmit</w:t>
        </w:r>
        <w:r w:rsidR="00872C01" w:rsidRPr="004C4CEF">
          <w:rPr>
            <w:rStyle w:val="Hyperlink"/>
            <w:noProof/>
          </w:rPr>
          <w:t xml:space="preserve"> </w:t>
        </w:r>
        <w:r w:rsidR="00872C01" w:rsidRPr="004C4CEF">
          <w:rPr>
            <w:rStyle w:val="Hyperlink"/>
            <w:rFonts w:cs="Arial"/>
            <w:noProof/>
            <w:lang w:val="en-GB" w:eastAsia="ja-JP"/>
          </w:rPr>
          <w:t>Msg3 or PUCCH in response to Msg4/MsgB.</w:t>
        </w:r>
      </w:hyperlink>
    </w:p>
    <w:p w14:paraId="71D79D99" w14:textId="20481D82" w:rsidR="00F507D1" w:rsidRPr="00AA1454" w:rsidRDefault="006E1C82" w:rsidP="00B86402">
      <w:pPr>
        <w:pStyle w:val="Heading1"/>
        <w:jc w:val="both"/>
        <w:rPr>
          <w:lang w:val="en-US"/>
        </w:rPr>
      </w:pPr>
      <w:r w:rsidRPr="00B86402">
        <w:rPr>
          <w:rFonts w:cs="Arial"/>
          <w:b/>
          <w:bCs/>
          <w:sz w:val="20"/>
          <w:lang w:val="en-US" w:eastAsia="zh-CN"/>
        </w:rPr>
        <w:fldChar w:fldCharType="end"/>
      </w:r>
      <w:bookmarkStart w:id="4" w:name="_In-sequence_SDU_delivery"/>
      <w:bookmarkEnd w:id="4"/>
      <w:r w:rsidR="00F507D1" w:rsidRPr="00AA1454">
        <w:rPr>
          <w:lang w:val="en-US"/>
        </w:rPr>
        <w:t>References</w:t>
      </w:r>
    </w:p>
    <w:bookmarkStart w:id="5" w:name="_Ref79143509"/>
    <w:bookmarkStart w:id="6" w:name="_Ref174151459"/>
    <w:bookmarkStart w:id="7" w:name="_Ref189809556"/>
    <w:p w14:paraId="2779FCFD" w14:textId="0E8A727F" w:rsidR="009F2ADF" w:rsidRPr="00BB3711" w:rsidRDefault="00406CF6" w:rsidP="00B86402">
      <w:pPr>
        <w:pStyle w:val="Reference"/>
        <w:rPr>
          <w:szCs w:val="20"/>
        </w:rPr>
      </w:pPr>
      <w:r w:rsidRPr="00BB3711">
        <w:rPr>
          <w:szCs w:val="20"/>
        </w:rPr>
        <w:fldChar w:fldCharType="begin"/>
      </w:r>
      <w:r w:rsidRPr="00BB3711">
        <w:rPr>
          <w:szCs w:val="20"/>
        </w:rPr>
        <w:instrText xml:space="preserve"> HYPERLINK "https://www.3gpp.org/ftp/TSG_RAN/TSG_RAN/TSGR_92e/Docs/RP-211574.zip" </w:instrText>
      </w:r>
      <w:r w:rsidR="00872C01" w:rsidRPr="00BB3711">
        <w:rPr>
          <w:szCs w:val="20"/>
        </w:rPr>
      </w:r>
      <w:r w:rsidRPr="00BB3711">
        <w:rPr>
          <w:szCs w:val="20"/>
        </w:rPr>
        <w:fldChar w:fldCharType="separate"/>
      </w:r>
      <w:r w:rsidRPr="00BB3711">
        <w:rPr>
          <w:rStyle w:val="Hyperlink"/>
          <w:szCs w:val="20"/>
        </w:rPr>
        <w:t>R1-211574</w:t>
      </w:r>
      <w:r w:rsidRPr="00BB3711">
        <w:rPr>
          <w:szCs w:val="20"/>
        </w:rPr>
        <w:fldChar w:fldCharType="end"/>
      </w:r>
      <w:r w:rsidRPr="00BB3711">
        <w:rPr>
          <w:szCs w:val="20"/>
        </w:rPr>
        <w:t>, “Revised WID on support of reduced capability NR devices”, Ericsson, 3GPP TSG RAN #92e, June 2021</w:t>
      </w:r>
      <w:bookmarkEnd w:id="5"/>
      <w:r w:rsidR="00A56DAF">
        <w:rPr>
          <w:szCs w:val="20"/>
        </w:rPr>
        <w:t>.</w:t>
      </w:r>
    </w:p>
    <w:bookmarkStart w:id="8" w:name="_Ref75178331"/>
    <w:bookmarkStart w:id="9" w:name="_Ref78205602"/>
    <w:p w14:paraId="6DFFBFB4" w14:textId="743D303C" w:rsidR="00A60AC5" w:rsidRDefault="00406CF6" w:rsidP="00B86402">
      <w:pPr>
        <w:pStyle w:val="Reference"/>
        <w:rPr>
          <w:szCs w:val="20"/>
        </w:rPr>
      </w:pPr>
      <w:r w:rsidRPr="00BB3711">
        <w:rPr>
          <w:szCs w:val="20"/>
        </w:rPr>
        <w:fldChar w:fldCharType="begin"/>
      </w:r>
      <w:r w:rsidR="00C13AE5">
        <w:rPr>
          <w:szCs w:val="20"/>
        </w:rPr>
        <w:instrText>HYPERLINK "https://www.3gpp.org/ftp/TSG_RAN/WG1_RL1/TSGR1_107-e/Docs/R1-2112506.zip"</w:instrText>
      </w:r>
      <w:r w:rsidR="00872C01" w:rsidRPr="00BB3711">
        <w:rPr>
          <w:szCs w:val="20"/>
        </w:rPr>
      </w:r>
      <w:r w:rsidRPr="00BB3711">
        <w:rPr>
          <w:szCs w:val="20"/>
        </w:rPr>
        <w:fldChar w:fldCharType="separate"/>
      </w:r>
      <w:r w:rsidR="00C13AE5">
        <w:rPr>
          <w:rStyle w:val="Hyperlink"/>
          <w:szCs w:val="20"/>
        </w:rPr>
        <w:t>R1-2112506</w:t>
      </w:r>
      <w:r w:rsidRPr="00BB3711">
        <w:rPr>
          <w:szCs w:val="20"/>
        </w:rPr>
        <w:fldChar w:fldCharType="end"/>
      </w:r>
      <w:r w:rsidR="00F90E6E" w:rsidRPr="00BB3711">
        <w:rPr>
          <w:szCs w:val="20"/>
        </w:rPr>
        <w:t>, “RAN1 agreements for Rel-17 NR RedCap”, Rapporteur (Ericsson), 3GPP TSG RAN1 #10</w:t>
      </w:r>
      <w:r w:rsidR="00C13AE5">
        <w:rPr>
          <w:szCs w:val="20"/>
        </w:rPr>
        <w:t>7</w:t>
      </w:r>
      <w:r w:rsidR="00F90E6E" w:rsidRPr="00BB3711">
        <w:rPr>
          <w:szCs w:val="20"/>
        </w:rPr>
        <w:t xml:space="preserve">-e, </w:t>
      </w:r>
      <w:r w:rsidR="00C13AE5">
        <w:rPr>
          <w:szCs w:val="20"/>
        </w:rPr>
        <w:t>November</w:t>
      </w:r>
      <w:r w:rsidR="00F90E6E" w:rsidRPr="00BB3711">
        <w:rPr>
          <w:szCs w:val="20"/>
        </w:rPr>
        <w:t xml:space="preserve"> 2021.</w:t>
      </w:r>
      <w:bookmarkEnd w:id="6"/>
      <w:bookmarkEnd w:id="7"/>
      <w:bookmarkEnd w:id="8"/>
      <w:bookmarkEnd w:id="9"/>
    </w:p>
    <w:bookmarkStart w:id="10" w:name="_Ref89704984"/>
    <w:p w14:paraId="31C46AE3" w14:textId="19E87613" w:rsidR="00226000" w:rsidRPr="009D1897" w:rsidRDefault="00226000" w:rsidP="00B86402">
      <w:pPr>
        <w:pStyle w:val="Reference"/>
        <w:rPr>
          <w:szCs w:val="20"/>
        </w:rPr>
      </w:pPr>
      <w:r>
        <w:rPr>
          <w:szCs w:val="20"/>
          <w:lang w:val="sv-SE"/>
        </w:rPr>
        <w:fldChar w:fldCharType="begin"/>
      </w:r>
      <w:r w:rsidRPr="009D1897">
        <w:rPr>
          <w:szCs w:val="20"/>
        </w:rPr>
        <w:instrText xml:space="preserve"> HYPERLINK "https://www.3gpp.org/ftp/tsg_ran/TSG_RAN/TSGR_94e/Docs/RP-212802.zip" </w:instrText>
      </w:r>
      <w:r w:rsidR="00872C01">
        <w:rPr>
          <w:szCs w:val="20"/>
          <w:lang w:val="sv-SE"/>
        </w:rPr>
      </w:r>
      <w:r>
        <w:rPr>
          <w:szCs w:val="20"/>
          <w:lang w:val="sv-SE"/>
        </w:rPr>
        <w:fldChar w:fldCharType="separate"/>
      </w:r>
      <w:r w:rsidRPr="009D1897">
        <w:rPr>
          <w:rStyle w:val="Hyperlink"/>
          <w:szCs w:val="20"/>
        </w:rPr>
        <w:t>RP-212802</w:t>
      </w:r>
      <w:r>
        <w:rPr>
          <w:szCs w:val="20"/>
          <w:lang w:val="sv-SE"/>
        </w:rPr>
        <w:fldChar w:fldCharType="end"/>
      </w:r>
      <w:r w:rsidRPr="009D1897">
        <w:rPr>
          <w:szCs w:val="20"/>
        </w:rPr>
        <w:t>, “</w:t>
      </w:r>
      <w:r w:rsidR="00F70E70" w:rsidRPr="009D1897">
        <w:rPr>
          <w:szCs w:val="20"/>
        </w:rPr>
        <w:t>Status report for WI Support of reduced capability NR devices</w:t>
      </w:r>
      <w:r w:rsidRPr="009D1897">
        <w:rPr>
          <w:szCs w:val="20"/>
        </w:rPr>
        <w:t>”, 3GPP TSG RAN #94-e, December 2021.</w:t>
      </w:r>
      <w:bookmarkEnd w:id="10"/>
    </w:p>
    <w:bookmarkStart w:id="11" w:name="_Ref89705454"/>
    <w:p w14:paraId="288C3278" w14:textId="05DD3419" w:rsidR="00CD3466" w:rsidRPr="00BB3711" w:rsidRDefault="00CF7714" w:rsidP="00B86402">
      <w:pPr>
        <w:pStyle w:val="Reference"/>
        <w:rPr>
          <w:szCs w:val="20"/>
        </w:rPr>
      </w:pPr>
      <w:r>
        <w:fldChar w:fldCharType="begin"/>
      </w:r>
      <w:r w:rsidR="00C13AE5">
        <w:instrText>HYPERLINK "https://www.3gpp.org/ftp/TSG_RAN/WG1_RL1/TSGR1_107-e/Docs/R1-2112601.zip"</w:instrText>
      </w:r>
      <w:r>
        <w:fldChar w:fldCharType="separate"/>
      </w:r>
      <w:r w:rsidR="00C13AE5">
        <w:rPr>
          <w:rStyle w:val="Hyperlink"/>
          <w:szCs w:val="20"/>
        </w:rPr>
        <w:t>R1-2112601</w:t>
      </w:r>
      <w:r>
        <w:rPr>
          <w:rStyle w:val="Hyperlink"/>
          <w:szCs w:val="20"/>
        </w:rPr>
        <w:fldChar w:fldCharType="end"/>
      </w:r>
      <w:r w:rsidR="00CD3466" w:rsidRPr="00CD3466">
        <w:rPr>
          <w:rStyle w:val="Hyperlink"/>
          <w:color w:val="auto"/>
          <w:szCs w:val="20"/>
          <w:u w:val="none"/>
        </w:rPr>
        <w:t>,</w:t>
      </w:r>
      <w:r w:rsidR="00CD3466">
        <w:rPr>
          <w:rStyle w:val="Hyperlink"/>
          <w:szCs w:val="20"/>
          <w:u w:val="none"/>
        </w:rPr>
        <w:t xml:space="preserve"> </w:t>
      </w:r>
      <w:r w:rsidR="00CD3466" w:rsidRPr="00CD3466">
        <w:rPr>
          <w:rStyle w:val="Hyperlink"/>
          <w:color w:val="auto"/>
          <w:szCs w:val="20"/>
          <w:u w:val="none"/>
        </w:rPr>
        <w:t>“</w:t>
      </w:r>
      <w:r w:rsidR="00CD3466" w:rsidRPr="00CD3466">
        <w:rPr>
          <w:szCs w:val="20"/>
        </w:rPr>
        <w:t>FL summary #</w:t>
      </w:r>
      <w:r w:rsidR="00C13AE5">
        <w:rPr>
          <w:szCs w:val="20"/>
        </w:rPr>
        <w:t>3</w:t>
      </w:r>
      <w:r w:rsidR="00CD3466" w:rsidRPr="00CD3466">
        <w:rPr>
          <w:szCs w:val="20"/>
        </w:rPr>
        <w:t xml:space="preserve"> on </w:t>
      </w:r>
      <w:r w:rsidR="00C13AE5" w:rsidRPr="00C13AE5">
        <w:rPr>
          <w:szCs w:val="20"/>
        </w:rPr>
        <w:t>other aspects for RedCap</w:t>
      </w:r>
      <w:r w:rsidR="00CD3466">
        <w:rPr>
          <w:szCs w:val="20"/>
        </w:rPr>
        <w:t xml:space="preserve">”, </w:t>
      </w:r>
      <w:r w:rsidR="00CD3466" w:rsidRPr="00CD3466">
        <w:rPr>
          <w:szCs w:val="20"/>
        </w:rPr>
        <w:t>Moderator (Qualcomm Inc.)</w:t>
      </w:r>
      <w:r w:rsidR="00CD3466">
        <w:rPr>
          <w:szCs w:val="20"/>
        </w:rPr>
        <w:t xml:space="preserve">, </w:t>
      </w:r>
      <w:r w:rsidR="00CD3466" w:rsidRPr="00BB3711">
        <w:rPr>
          <w:szCs w:val="20"/>
        </w:rPr>
        <w:t>3GPP TSG RAN1 #10</w:t>
      </w:r>
      <w:r w:rsidR="00C13AE5">
        <w:rPr>
          <w:szCs w:val="20"/>
        </w:rPr>
        <w:t>7</w:t>
      </w:r>
      <w:r w:rsidR="00CD3466" w:rsidRPr="00BB3711">
        <w:rPr>
          <w:szCs w:val="20"/>
        </w:rPr>
        <w:t xml:space="preserve">-e, </w:t>
      </w:r>
      <w:r w:rsidR="00C13AE5">
        <w:rPr>
          <w:szCs w:val="20"/>
        </w:rPr>
        <w:t>November</w:t>
      </w:r>
      <w:r w:rsidR="00CD3466" w:rsidRPr="00BB3711">
        <w:rPr>
          <w:szCs w:val="20"/>
        </w:rPr>
        <w:t xml:space="preserve"> 2021.</w:t>
      </w:r>
      <w:bookmarkEnd w:id="11"/>
    </w:p>
    <w:p w14:paraId="3C2EA3D2" w14:textId="2AC0A211" w:rsidR="00CD3466" w:rsidRPr="00BB3711" w:rsidRDefault="00CD3466" w:rsidP="00B86402">
      <w:pPr>
        <w:pStyle w:val="Reference"/>
        <w:numPr>
          <w:ilvl w:val="0"/>
          <w:numId w:val="0"/>
        </w:numPr>
        <w:rPr>
          <w:szCs w:val="20"/>
        </w:rPr>
      </w:pPr>
    </w:p>
    <w:sectPr w:rsidR="00CD3466" w:rsidRPr="00BB371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B4FBE" w14:textId="77777777" w:rsidR="00CF7714" w:rsidRDefault="00CF7714">
      <w:r>
        <w:separator/>
      </w:r>
    </w:p>
  </w:endnote>
  <w:endnote w:type="continuationSeparator" w:id="0">
    <w:p w14:paraId="2E1E234E" w14:textId="77777777" w:rsidR="00CF7714" w:rsidRDefault="00CF7714">
      <w:r>
        <w:continuationSeparator/>
      </w:r>
    </w:p>
  </w:endnote>
  <w:endnote w:type="continuationNotice" w:id="1">
    <w:p w14:paraId="2839C132" w14:textId="77777777" w:rsidR="00CF7714" w:rsidRDefault="00CF77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7349F" w:rsidRDefault="00D734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0F976" w14:textId="77777777" w:rsidR="00CF7714" w:rsidRDefault="00CF7714">
      <w:r>
        <w:separator/>
      </w:r>
    </w:p>
  </w:footnote>
  <w:footnote w:type="continuationSeparator" w:id="0">
    <w:p w14:paraId="797C9D28" w14:textId="77777777" w:rsidR="00CF7714" w:rsidRDefault="00CF7714">
      <w:r>
        <w:continuationSeparator/>
      </w:r>
    </w:p>
  </w:footnote>
  <w:footnote w:type="continuationNotice" w:id="1">
    <w:p w14:paraId="452AEF95" w14:textId="77777777" w:rsidR="00CF7714" w:rsidRDefault="00CF77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46C3E40E" w:rsidR="00D7349F" w:rsidRPr="00AA1454" w:rsidRDefault="00D7349F" w:rsidP="00AA1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0758AA"/>
    <w:multiLevelType w:val="hybridMultilevel"/>
    <w:tmpl w:val="154A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362B2C"/>
    <w:multiLevelType w:val="hybridMultilevel"/>
    <w:tmpl w:val="E2740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8486AB74"/>
    <w:lvl w:ilvl="0" w:tplc="2B00FE70">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B597A61"/>
    <w:multiLevelType w:val="hybridMultilevel"/>
    <w:tmpl w:val="8E08695A"/>
    <w:lvl w:ilvl="0" w:tplc="7D2C6232">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9"/>
  </w:num>
  <w:num w:numId="3">
    <w:abstractNumId w:val="0"/>
  </w:num>
  <w:num w:numId="4">
    <w:abstractNumId w:val="11"/>
  </w:num>
  <w:num w:numId="5">
    <w:abstractNumId w:val="12"/>
  </w:num>
  <w:num w:numId="6">
    <w:abstractNumId w:val="13"/>
  </w:num>
  <w:num w:numId="7">
    <w:abstractNumId w:val="3"/>
  </w:num>
  <w:num w:numId="8">
    <w:abstractNumId w:val="4"/>
  </w:num>
  <w:num w:numId="9">
    <w:abstractNumId w:val="2"/>
  </w:num>
  <w:num w:numId="10">
    <w:abstractNumId w:val="16"/>
  </w:num>
  <w:num w:numId="11">
    <w:abstractNumId w:val="7"/>
  </w:num>
  <w:num w:numId="12">
    <w:abstractNumId w:val="15"/>
  </w:num>
  <w:num w:numId="13">
    <w:abstractNumId w:val="17"/>
  </w:num>
  <w:num w:numId="14">
    <w:abstractNumId w:val="6"/>
  </w:num>
  <w:num w:numId="15">
    <w:abstractNumId w:val="18"/>
  </w:num>
  <w:num w:numId="16">
    <w:abstractNumId w:val="19"/>
  </w:num>
  <w:num w:numId="17">
    <w:abstractNumId w:val="5"/>
  </w:num>
  <w:num w:numId="18">
    <w:abstractNumId w:val="14"/>
  </w:num>
  <w:num w:numId="19">
    <w:abstractNumId w:val="8"/>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348"/>
    <w:rsid w:val="0000284B"/>
    <w:rsid w:val="00002A37"/>
    <w:rsid w:val="00003308"/>
    <w:rsid w:val="0000564C"/>
    <w:rsid w:val="00005E3B"/>
    <w:rsid w:val="00006446"/>
    <w:rsid w:val="00006896"/>
    <w:rsid w:val="00006FB3"/>
    <w:rsid w:val="00007CDC"/>
    <w:rsid w:val="0001131C"/>
    <w:rsid w:val="00011B28"/>
    <w:rsid w:val="00011EF7"/>
    <w:rsid w:val="000151B0"/>
    <w:rsid w:val="0001551A"/>
    <w:rsid w:val="000159FA"/>
    <w:rsid w:val="00015D15"/>
    <w:rsid w:val="00016868"/>
    <w:rsid w:val="00017635"/>
    <w:rsid w:val="00017BDE"/>
    <w:rsid w:val="00017F62"/>
    <w:rsid w:val="000202D2"/>
    <w:rsid w:val="00020445"/>
    <w:rsid w:val="00020CCD"/>
    <w:rsid w:val="00020D85"/>
    <w:rsid w:val="00021027"/>
    <w:rsid w:val="0002238C"/>
    <w:rsid w:val="00022CA0"/>
    <w:rsid w:val="000233D8"/>
    <w:rsid w:val="00024569"/>
    <w:rsid w:val="0002564D"/>
    <w:rsid w:val="00025ECA"/>
    <w:rsid w:val="0002647E"/>
    <w:rsid w:val="000264DA"/>
    <w:rsid w:val="00026B32"/>
    <w:rsid w:val="000270E5"/>
    <w:rsid w:val="00031383"/>
    <w:rsid w:val="00031477"/>
    <w:rsid w:val="00031616"/>
    <w:rsid w:val="000325B8"/>
    <w:rsid w:val="000326A3"/>
    <w:rsid w:val="00032FAF"/>
    <w:rsid w:val="00034B36"/>
    <w:rsid w:val="00034C15"/>
    <w:rsid w:val="00035999"/>
    <w:rsid w:val="00036BA1"/>
    <w:rsid w:val="000408ED"/>
    <w:rsid w:val="00040E1E"/>
    <w:rsid w:val="00040F46"/>
    <w:rsid w:val="00042171"/>
    <w:rsid w:val="000422E2"/>
    <w:rsid w:val="00042F22"/>
    <w:rsid w:val="00044222"/>
    <w:rsid w:val="000444CD"/>
    <w:rsid w:val="000444EF"/>
    <w:rsid w:val="0005004C"/>
    <w:rsid w:val="00052A07"/>
    <w:rsid w:val="00053190"/>
    <w:rsid w:val="000534E3"/>
    <w:rsid w:val="0005515E"/>
    <w:rsid w:val="0005527B"/>
    <w:rsid w:val="00055EB9"/>
    <w:rsid w:val="0005606A"/>
    <w:rsid w:val="00057117"/>
    <w:rsid w:val="000616E7"/>
    <w:rsid w:val="00061CF3"/>
    <w:rsid w:val="00064282"/>
    <w:rsid w:val="0006487E"/>
    <w:rsid w:val="00064F4A"/>
    <w:rsid w:val="00065E1A"/>
    <w:rsid w:val="00067187"/>
    <w:rsid w:val="00070245"/>
    <w:rsid w:val="00070862"/>
    <w:rsid w:val="00073351"/>
    <w:rsid w:val="00076D5A"/>
    <w:rsid w:val="0007769D"/>
    <w:rsid w:val="00077E5F"/>
    <w:rsid w:val="0008036A"/>
    <w:rsid w:val="00080A19"/>
    <w:rsid w:val="00080AB4"/>
    <w:rsid w:val="0008124F"/>
    <w:rsid w:val="00081AE6"/>
    <w:rsid w:val="00082749"/>
    <w:rsid w:val="00082773"/>
    <w:rsid w:val="00084864"/>
    <w:rsid w:val="000854D3"/>
    <w:rsid w:val="000855EB"/>
    <w:rsid w:val="00085B52"/>
    <w:rsid w:val="0008614B"/>
    <w:rsid w:val="000866F2"/>
    <w:rsid w:val="00086974"/>
    <w:rsid w:val="00086D67"/>
    <w:rsid w:val="0009009F"/>
    <w:rsid w:val="000903BE"/>
    <w:rsid w:val="00090FC2"/>
    <w:rsid w:val="000913D0"/>
    <w:rsid w:val="00091557"/>
    <w:rsid w:val="00091857"/>
    <w:rsid w:val="000924C1"/>
    <w:rsid w:val="000924F0"/>
    <w:rsid w:val="00092BC1"/>
    <w:rsid w:val="00093474"/>
    <w:rsid w:val="0009500A"/>
    <w:rsid w:val="0009510F"/>
    <w:rsid w:val="000964C0"/>
    <w:rsid w:val="000972D3"/>
    <w:rsid w:val="00097BD6"/>
    <w:rsid w:val="000A17F9"/>
    <w:rsid w:val="000A1B7B"/>
    <w:rsid w:val="000A20D7"/>
    <w:rsid w:val="000A25FC"/>
    <w:rsid w:val="000A2CBA"/>
    <w:rsid w:val="000A4044"/>
    <w:rsid w:val="000A4092"/>
    <w:rsid w:val="000A5688"/>
    <w:rsid w:val="000A56F2"/>
    <w:rsid w:val="000A646D"/>
    <w:rsid w:val="000A74BD"/>
    <w:rsid w:val="000A75DD"/>
    <w:rsid w:val="000B0A22"/>
    <w:rsid w:val="000B1D54"/>
    <w:rsid w:val="000B2719"/>
    <w:rsid w:val="000B2CD7"/>
    <w:rsid w:val="000B3A8F"/>
    <w:rsid w:val="000B3C82"/>
    <w:rsid w:val="000B4232"/>
    <w:rsid w:val="000B4AB9"/>
    <w:rsid w:val="000B53B9"/>
    <w:rsid w:val="000B543E"/>
    <w:rsid w:val="000B58C3"/>
    <w:rsid w:val="000B5DAD"/>
    <w:rsid w:val="000B5F2C"/>
    <w:rsid w:val="000B61E9"/>
    <w:rsid w:val="000B7B66"/>
    <w:rsid w:val="000B7F44"/>
    <w:rsid w:val="000C01A2"/>
    <w:rsid w:val="000C05A4"/>
    <w:rsid w:val="000C1119"/>
    <w:rsid w:val="000C125F"/>
    <w:rsid w:val="000C165A"/>
    <w:rsid w:val="000C17E2"/>
    <w:rsid w:val="000C2E19"/>
    <w:rsid w:val="000C3282"/>
    <w:rsid w:val="000C5914"/>
    <w:rsid w:val="000C65FC"/>
    <w:rsid w:val="000C6654"/>
    <w:rsid w:val="000C6EDA"/>
    <w:rsid w:val="000C717E"/>
    <w:rsid w:val="000D007B"/>
    <w:rsid w:val="000D0D07"/>
    <w:rsid w:val="000D34A0"/>
    <w:rsid w:val="000D3884"/>
    <w:rsid w:val="000D4797"/>
    <w:rsid w:val="000D6BB3"/>
    <w:rsid w:val="000D78D6"/>
    <w:rsid w:val="000E0288"/>
    <w:rsid w:val="000E0527"/>
    <w:rsid w:val="000E1E92"/>
    <w:rsid w:val="000E2162"/>
    <w:rsid w:val="000E3515"/>
    <w:rsid w:val="000E39E1"/>
    <w:rsid w:val="000E4087"/>
    <w:rsid w:val="000E4DF1"/>
    <w:rsid w:val="000E56B4"/>
    <w:rsid w:val="000E6CC1"/>
    <w:rsid w:val="000E7550"/>
    <w:rsid w:val="000F06D6"/>
    <w:rsid w:val="000F0725"/>
    <w:rsid w:val="000F08B6"/>
    <w:rsid w:val="000F0EB1"/>
    <w:rsid w:val="000F1106"/>
    <w:rsid w:val="000F245C"/>
    <w:rsid w:val="000F2C05"/>
    <w:rsid w:val="000F3A17"/>
    <w:rsid w:val="000F3BE9"/>
    <w:rsid w:val="000F3D85"/>
    <w:rsid w:val="000F3F6C"/>
    <w:rsid w:val="000F4B67"/>
    <w:rsid w:val="000F6251"/>
    <w:rsid w:val="000F6DF3"/>
    <w:rsid w:val="001005FF"/>
    <w:rsid w:val="00101CDC"/>
    <w:rsid w:val="00102271"/>
    <w:rsid w:val="001028F6"/>
    <w:rsid w:val="00102B62"/>
    <w:rsid w:val="00103BF3"/>
    <w:rsid w:val="001062FB"/>
    <w:rsid w:val="001063E6"/>
    <w:rsid w:val="00111AD4"/>
    <w:rsid w:val="00111FB8"/>
    <w:rsid w:val="00112161"/>
    <w:rsid w:val="00113CF4"/>
    <w:rsid w:val="00114222"/>
    <w:rsid w:val="001153EA"/>
    <w:rsid w:val="00115643"/>
    <w:rsid w:val="00116765"/>
    <w:rsid w:val="00117184"/>
    <w:rsid w:val="00117483"/>
    <w:rsid w:val="0011752C"/>
    <w:rsid w:val="00117928"/>
    <w:rsid w:val="00120108"/>
    <w:rsid w:val="001219F5"/>
    <w:rsid w:val="00121A20"/>
    <w:rsid w:val="00123775"/>
    <w:rsid w:val="0012377F"/>
    <w:rsid w:val="00124314"/>
    <w:rsid w:val="00125C27"/>
    <w:rsid w:val="00125C3A"/>
    <w:rsid w:val="00126B4A"/>
    <w:rsid w:val="00127785"/>
    <w:rsid w:val="00130CAE"/>
    <w:rsid w:val="001315D6"/>
    <w:rsid w:val="00132EF3"/>
    <w:rsid w:val="00132FD0"/>
    <w:rsid w:val="001339B5"/>
    <w:rsid w:val="001344C0"/>
    <w:rsid w:val="001346FA"/>
    <w:rsid w:val="00135252"/>
    <w:rsid w:val="00137AB5"/>
    <w:rsid w:val="00137F0B"/>
    <w:rsid w:val="0014378E"/>
    <w:rsid w:val="00143924"/>
    <w:rsid w:val="00143B49"/>
    <w:rsid w:val="001441A8"/>
    <w:rsid w:val="001449F3"/>
    <w:rsid w:val="001457AD"/>
    <w:rsid w:val="00146219"/>
    <w:rsid w:val="00146294"/>
    <w:rsid w:val="00150713"/>
    <w:rsid w:val="00151417"/>
    <w:rsid w:val="00151ADE"/>
    <w:rsid w:val="00151E23"/>
    <w:rsid w:val="001526E0"/>
    <w:rsid w:val="001551B5"/>
    <w:rsid w:val="0015569C"/>
    <w:rsid w:val="00157AD2"/>
    <w:rsid w:val="00161B2A"/>
    <w:rsid w:val="00162E3D"/>
    <w:rsid w:val="001630A9"/>
    <w:rsid w:val="001632CB"/>
    <w:rsid w:val="00163C19"/>
    <w:rsid w:val="00164473"/>
    <w:rsid w:val="0016451B"/>
    <w:rsid w:val="00165108"/>
    <w:rsid w:val="001654DE"/>
    <w:rsid w:val="001659C1"/>
    <w:rsid w:val="00167FFC"/>
    <w:rsid w:val="0017035B"/>
    <w:rsid w:val="00170BF0"/>
    <w:rsid w:val="001717AF"/>
    <w:rsid w:val="0017354E"/>
    <w:rsid w:val="00173A8E"/>
    <w:rsid w:val="00173E57"/>
    <w:rsid w:val="00174638"/>
    <w:rsid w:val="0017502C"/>
    <w:rsid w:val="00175843"/>
    <w:rsid w:val="00177AC5"/>
    <w:rsid w:val="00180D83"/>
    <w:rsid w:val="00180F42"/>
    <w:rsid w:val="0018143F"/>
    <w:rsid w:val="00181B61"/>
    <w:rsid w:val="00181FF8"/>
    <w:rsid w:val="001861A8"/>
    <w:rsid w:val="0018659E"/>
    <w:rsid w:val="001906FC"/>
    <w:rsid w:val="00190AC1"/>
    <w:rsid w:val="0019181D"/>
    <w:rsid w:val="001924DC"/>
    <w:rsid w:val="0019341A"/>
    <w:rsid w:val="001934B5"/>
    <w:rsid w:val="001939DC"/>
    <w:rsid w:val="00194204"/>
    <w:rsid w:val="00194F58"/>
    <w:rsid w:val="00196006"/>
    <w:rsid w:val="00197DF9"/>
    <w:rsid w:val="001A0651"/>
    <w:rsid w:val="001A1987"/>
    <w:rsid w:val="001A2564"/>
    <w:rsid w:val="001A27C8"/>
    <w:rsid w:val="001A320E"/>
    <w:rsid w:val="001A3243"/>
    <w:rsid w:val="001A498C"/>
    <w:rsid w:val="001A49CA"/>
    <w:rsid w:val="001A6173"/>
    <w:rsid w:val="001A6CBA"/>
    <w:rsid w:val="001A718C"/>
    <w:rsid w:val="001A7837"/>
    <w:rsid w:val="001A7EE6"/>
    <w:rsid w:val="001B07DB"/>
    <w:rsid w:val="001B0D08"/>
    <w:rsid w:val="001B0D97"/>
    <w:rsid w:val="001B142D"/>
    <w:rsid w:val="001B17F6"/>
    <w:rsid w:val="001B183C"/>
    <w:rsid w:val="001B30D7"/>
    <w:rsid w:val="001B3412"/>
    <w:rsid w:val="001B40B8"/>
    <w:rsid w:val="001B5A5D"/>
    <w:rsid w:val="001B5DDB"/>
    <w:rsid w:val="001B6585"/>
    <w:rsid w:val="001B6763"/>
    <w:rsid w:val="001B7757"/>
    <w:rsid w:val="001B7F72"/>
    <w:rsid w:val="001C1CE5"/>
    <w:rsid w:val="001C1F0E"/>
    <w:rsid w:val="001C1F3F"/>
    <w:rsid w:val="001C2496"/>
    <w:rsid w:val="001C3B31"/>
    <w:rsid w:val="001C3CF9"/>
    <w:rsid w:val="001C3D2A"/>
    <w:rsid w:val="001C4C96"/>
    <w:rsid w:val="001C4D40"/>
    <w:rsid w:val="001C5866"/>
    <w:rsid w:val="001C5AD1"/>
    <w:rsid w:val="001C6D3B"/>
    <w:rsid w:val="001C75D7"/>
    <w:rsid w:val="001C7761"/>
    <w:rsid w:val="001D018C"/>
    <w:rsid w:val="001D0775"/>
    <w:rsid w:val="001D0A39"/>
    <w:rsid w:val="001D294C"/>
    <w:rsid w:val="001D2C94"/>
    <w:rsid w:val="001D3A5D"/>
    <w:rsid w:val="001D4794"/>
    <w:rsid w:val="001D51BA"/>
    <w:rsid w:val="001D53E7"/>
    <w:rsid w:val="001D55C3"/>
    <w:rsid w:val="001D59FA"/>
    <w:rsid w:val="001D6342"/>
    <w:rsid w:val="001D6D53"/>
    <w:rsid w:val="001D7A3D"/>
    <w:rsid w:val="001E1407"/>
    <w:rsid w:val="001E1EB4"/>
    <w:rsid w:val="001E3E95"/>
    <w:rsid w:val="001E4608"/>
    <w:rsid w:val="001E4A68"/>
    <w:rsid w:val="001E4D29"/>
    <w:rsid w:val="001E565D"/>
    <w:rsid w:val="001E58E2"/>
    <w:rsid w:val="001E5A4F"/>
    <w:rsid w:val="001E6AB7"/>
    <w:rsid w:val="001E7AED"/>
    <w:rsid w:val="001F1360"/>
    <w:rsid w:val="001F1885"/>
    <w:rsid w:val="001F1D2C"/>
    <w:rsid w:val="001F265A"/>
    <w:rsid w:val="001F27F3"/>
    <w:rsid w:val="001F3916"/>
    <w:rsid w:val="001F39DF"/>
    <w:rsid w:val="001F47C4"/>
    <w:rsid w:val="001F54C5"/>
    <w:rsid w:val="001F662C"/>
    <w:rsid w:val="001F7074"/>
    <w:rsid w:val="001F77B7"/>
    <w:rsid w:val="00200490"/>
    <w:rsid w:val="00201F3A"/>
    <w:rsid w:val="00202227"/>
    <w:rsid w:val="00203F96"/>
    <w:rsid w:val="002050C3"/>
    <w:rsid w:val="002069B2"/>
    <w:rsid w:val="00206B5C"/>
    <w:rsid w:val="00207FA3"/>
    <w:rsid w:val="00211A5D"/>
    <w:rsid w:val="00211F11"/>
    <w:rsid w:val="00212941"/>
    <w:rsid w:val="002132BD"/>
    <w:rsid w:val="002133BE"/>
    <w:rsid w:val="00213B6E"/>
    <w:rsid w:val="00213CF7"/>
    <w:rsid w:val="00214DA8"/>
    <w:rsid w:val="00214FCF"/>
    <w:rsid w:val="00215423"/>
    <w:rsid w:val="002158FA"/>
    <w:rsid w:val="00216E79"/>
    <w:rsid w:val="002204CB"/>
    <w:rsid w:val="00220600"/>
    <w:rsid w:val="00221FDF"/>
    <w:rsid w:val="002221F7"/>
    <w:rsid w:val="002224DB"/>
    <w:rsid w:val="00222B5D"/>
    <w:rsid w:val="00223C34"/>
    <w:rsid w:val="00223FCB"/>
    <w:rsid w:val="00224968"/>
    <w:rsid w:val="00224A3F"/>
    <w:rsid w:val="002252C3"/>
    <w:rsid w:val="002253B6"/>
    <w:rsid w:val="002253F6"/>
    <w:rsid w:val="0022540C"/>
    <w:rsid w:val="00225C54"/>
    <w:rsid w:val="00226000"/>
    <w:rsid w:val="0022661C"/>
    <w:rsid w:val="0022669D"/>
    <w:rsid w:val="00226AFB"/>
    <w:rsid w:val="00227526"/>
    <w:rsid w:val="00227CF0"/>
    <w:rsid w:val="0023055E"/>
    <w:rsid w:val="00230765"/>
    <w:rsid w:val="00230D18"/>
    <w:rsid w:val="002312D3"/>
    <w:rsid w:val="002319E4"/>
    <w:rsid w:val="00231D58"/>
    <w:rsid w:val="002334D0"/>
    <w:rsid w:val="002340A8"/>
    <w:rsid w:val="0023544B"/>
    <w:rsid w:val="00235632"/>
    <w:rsid w:val="00235872"/>
    <w:rsid w:val="0023754E"/>
    <w:rsid w:val="0023768B"/>
    <w:rsid w:val="00237E79"/>
    <w:rsid w:val="00240053"/>
    <w:rsid w:val="00241082"/>
    <w:rsid w:val="0024137C"/>
    <w:rsid w:val="00241539"/>
    <w:rsid w:val="00241559"/>
    <w:rsid w:val="00242BB3"/>
    <w:rsid w:val="00242F0A"/>
    <w:rsid w:val="002435B3"/>
    <w:rsid w:val="002458EB"/>
    <w:rsid w:val="00245905"/>
    <w:rsid w:val="002459D0"/>
    <w:rsid w:val="002478D0"/>
    <w:rsid w:val="002500C8"/>
    <w:rsid w:val="00250570"/>
    <w:rsid w:val="00252F57"/>
    <w:rsid w:val="0025473C"/>
    <w:rsid w:val="00255376"/>
    <w:rsid w:val="00257192"/>
    <w:rsid w:val="00257198"/>
    <w:rsid w:val="00257543"/>
    <w:rsid w:val="002601CF"/>
    <w:rsid w:val="0026067A"/>
    <w:rsid w:val="002617E7"/>
    <w:rsid w:val="00261ECD"/>
    <w:rsid w:val="00262610"/>
    <w:rsid w:val="00262725"/>
    <w:rsid w:val="00263AA9"/>
    <w:rsid w:val="00264228"/>
    <w:rsid w:val="00264334"/>
    <w:rsid w:val="0026473E"/>
    <w:rsid w:val="00264F92"/>
    <w:rsid w:val="00266214"/>
    <w:rsid w:val="0026707F"/>
    <w:rsid w:val="00267745"/>
    <w:rsid w:val="00267C83"/>
    <w:rsid w:val="002704AF"/>
    <w:rsid w:val="00270F31"/>
    <w:rsid w:val="0027144F"/>
    <w:rsid w:val="00271813"/>
    <w:rsid w:val="00271F3A"/>
    <w:rsid w:val="00272E5C"/>
    <w:rsid w:val="00273278"/>
    <w:rsid w:val="00273643"/>
    <w:rsid w:val="002737F4"/>
    <w:rsid w:val="002740D5"/>
    <w:rsid w:val="0027439C"/>
    <w:rsid w:val="00274425"/>
    <w:rsid w:val="00275401"/>
    <w:rsid w:val="00276FA6"/>
    <w:rsid w:val="00277BBD"/>
    <w:rsid w:val="002805F5"/>
    <w:rsid w:val="00280731"/>
    <w:rsid w:val="00280751"/>
    <w:rsid w:val="00281821"/>
    <w:rsid w:val="0028280A"/>
    <w:rsid w:val="00282AC4"/>
    <w:rsid w:val="00282BD6"/>
    <w:rsid w:val="00282CB8"/>
    <w:rsid w:val="002841E7"/>
    <w:rsid w:val="002857EF"/>
    <w:rsid w:val="00286ACD"/>
    <w:rsid w:val="00287838"/>
    <w:rsid w:val="00287894"/>
    <w:rsid w:val="00287BBD"/>
    <w:rsid w:val="002907B5"/>
    <w:rsid w:val="00290C45"/>
    <w:rsid w:val="00291F38"/>
    <w:rsid w:val="002923AF"/>
    <w:rsid w:val="00292EB7"/>
    <w:rsid w:val="0029565C"/>
    <w:rsid w:val="00296227"/>
    <w:rsid w:val="00296809"/>
    <w:rsid w:val="00296F44"/>
    <w:rsid w:val="0029777D"/>
    <w:rsid w:val="002A055E"/>
    <w:rsid w:val="002A0E38"/>
    <w:rsid w:val="002A1D4E"/>
    <w:rsid w:val="002A217C"/>
    <w:rsid w:val="002A24C2"/>
    <w:rsid w:val="002A2869"/>
    <w:rsid w:val="002A3E09"/>
    <w:rsid w:val="002A3EC8"/>
    <w:rsid w:val="002A5343"/>
    <w:rsid w:val="002A5E3E"/>
    <w:rsid w:val="002A714F"/>
    <w:rsid w:val="002B0CAF"/>
    <w:rsid w:val="002B0DC2"/>
    <w:rsid w:val="002B175C"/>
    <w:rsid w:val="002B24D6"/>
    <w:rsid w:val="002B3399"/>
    <w:rsid w:val="002B3618"/>
    <w:rsid w:val="002B43AC"/>
    <w:rsid w:val="002B4ACF"/>
    <w:rsid w:val="002B56F9"/>
    <w:rsid w:val="002B690C"/>
    <w:rsid w:val="002B71BA"/>
    <w:rsid w:val="002B7E68"/>
    <w:rsid w:val="002C0047"/>
    <w:rsid w:val="002C3095"/>
    <w:rsid w:val="002C41E6"/>
    <w:rsid w:val="002C5805"/>
    <w:rsid w:val="002C5DD2"/>
    <w:rsid w:val="002C5FD9"/>
    <w:rsid w:val="002C7AEB"/>
    <w:rsid w:val="002C7DF0"/>
    <w:rsid w:val="002D071A"/>
    <w:rsid w:val="002D0DEC"/>
    <w:rsid w:val="002D34B2"/>
    <w:rsid w:val="002D3D50"/>
    <w:rsid w:val="002D48B0"/>
    <w:rsid w:val="002D4F16"/>
    <w:rsid w:val="002D55B0"/>
    <w:rsid w:val="002D5B37"/>
    <w:rsid w:val="002D5EAF"/>
    <w:rsid w:val="002D6400"/>
    <w:rsid w:val="002D6FDF"/>
    <w:rsid w:val="002D7008"/>
    <w:rsid w:val="002D73F7"/>
    <w:rsid w:val="002D7637"/>
    <w:rsid w:val="002E0279"/>
    <w:rsid w:val="002E17F2"/>
    <w:rsid w:val="002E26F7"/>
    <w:rsid w:val="002E3A37"/>
    <w:rsid w:val="002E44D1"/>
    <w:rsid w:val="002E5ED9"/>
    <w:rsid w:val="002E6BF3"/>
    <w:rsid w:val="002E6C13"/>
    <w:rsid w:val="002E7CAE"/>
    <w:rsid w:val="002F01A9"/>
    <w:rsid w:val="002F0C27"/>
    <w:rsid w:val="002F13E4"/>
    <w:rsid w:val="002F2771"/>
    <w:rsid w:val="002F2BEE"/>
    <w:rsid w:val="002F3150"/>
    <w:rsid w:val="002F37A9"/>
    <w:rsid w:val="002F3D65"/>
    <w:rsid w:val="002F3FC9"/>
    <w:rsid w:val="00301CE6"/>
    <w:rsid w:val="0030256B"/>
    <w:rsid w:val="00302CDE"/>
    <w:rsid w:val="00303121"/>
    <w:rsid w:val="0030399E"/>
    <w:rsid w:val="00303D3C"/>
    <w:rsid w:val="003040AC"/>
    <w:rsid w:val="00304ED4"/>
    <w:rsid w:val="0030501F"/>
    <w:rsid w:val="003077F8"/>
    <w:rsid w:val="0030787C"/>
    <w:rsid w:val="00307BA1"/>
    <w:rsid w:val="00310C99"/>
    <w:rsid w:val="00311403"/>
    <w:rsid w:val="00311702"/>
    <w:rsid w:val="00311A2F"/>
    <w:rsid w:val="00311E82"/>
    <w:rsid w:val="00312C54"/>
    <w:rsid w:val="0031348A"/>
    <w:rsid w:val="00313FD6"/>
    <w:rsid w:val="003143BD"/>
    <w:rsid w:val="00314BAF"/>
    <w:rsid w:val="00315363"/>
    <w:rsid w:val="00317396"/>
    <w:rsid w:val="003174EC"/>
    <w:rsid w:val="0032025C"/>
    <w:rsid w:val="003203ED"/>
    <w:rsid w:val="003216EA"/>
    <w:rsid w:val="003225AE"/>
    <w:rsid w:val="00322C9F"/>
    <w:rsid w:val="003230F0"/>
    <w:rsid w:val="0032417B"/>
    <w:rsid w:val="00324A16"/>
    <w:rsid w:val="00324B59"/>
    <w:rsid w:val="00324D23"/>
    <w:rsid w:val="0032753A"/>
    <w:rsid w:val="00327DEB"/>
    <w:rsid w:val="00330348"/>
    <w:rsid w:val="0033119D"/>
    <w:rsid w:val="00331751"/>
    <w:rsid w:val="00331C4C"/>
    <w:rsid w:val="0033220D"/>
    <w:rsid w:val="00332F5E"/>
    <w:rsid w:val="0033361E"/>
    <w:rsid w:val="00334579"/>
    <w:rsid w:val="003345AF"/>
    <w:rsid w:val="00335858"/>
    <w:rsid w:val="00335952"/>
    <w:rsid w:val="00335F8A"/>
    <w:rsid w:val="00336078"/>
    <w:rsid w:val="00336AF4"/>
    <w:rsid w:val="00336BDA"/>
    <w:rsid w:val="00336FAA"/>
    <w:rsid w:val="00337A86"/>
    <w:rsid w:val="0034023D"/>
    <w:rsid w:val="003408C8"/>
    <w:rsid w:val="00342BD7"/>
    <w:rsid w:val="00343C35"/>
    <w:rsid w:val="00343C7D"/>
    <w:rsid w:val="00345193"/>
    <w:rsid w:val="003469F5"/>
    <w:rsid w:val="00346DB5"/>
    <w:rsid w:val="003477B1"/>
    <w:rsid w:val="00350903"/>
    <w:rsid w:val="003520B6"/>
    <w:rsid w:val="00352AE2"/>
    <w:rsid w:val="003545E4"/>
    <w:rsid w:val="003554DB"/>
    <w:rsid w:val="00356E70"/>
    <w:rsid w:val="00357380"/>
    <w:rsid w:val="003602D9"/>
    <w:rsid w:val="003604CE"/>
    <w:rsid w:val="00362458"/>
    <w:rsid w:val="0036380A"/>
    <w:rsid w:val="00363A1D"/>
    <w:rsid w:val="0036504B"/>
    <w:rsid w:val="00365235"/>
    <w:rsid w:val="00365605"/>
    <w:rsid w:val="00365817"/>
    <w:rsid w:val="003678D1"/>
    <w:rsid w:val="003704CF"/>
    <w:rsid w:val="00370BBF"/>
    <w:rsid w:val="00370E47"/>
    <w:rsid w:val="003710E5"/>
    <w:rsid w:val="00371223"/>
    <w:rsid w:val="0037206D"/>
    <w:rsid w:val="003723C5"/>
    <w:rsid w:val="003742AC"/>
    <w:rsid w:val="003751B5"/>
    <w:rsid w:val="0037635B"/>
    <w:rsid w:val="00376477"/>
    <w:rsid w:val="00376494"/>
    <w:rsid w:val="003779BE"/>
    <w:rsid w:val="00377CE1"/>
    <w:rsid w:val="00377FC5"/>
    <w:rsid w:val="003801B5"/>
    <w:rsid w:val="003803F6"/>
    <w:rsid w:val="0038091C"/>
    <w:rsid w:val="00380DEB"/>
    <w:rsid w:val="00381C71"/>
    <w:rsid w:val="0038306F"/>
    <w:rsid w:val="00383484"/>
    <w:rsid w:val="00385BF0"/>
    <w:rsid w:val="00385EDB"/>
    <w:rsid w:val="0038609C"/>
    <w:rsid w:val="00386394"/>
    <w:rsid w:val="003865B0"/>
    <w:rsid w:val="00386DAB"/>
    <w:rsid w:val="003872F4"/>
    <w:rsid w:val="00390B9A"/>
    <w:rsid w:val="003919C0"/>
    <w:rsid w:val="003939FF"/>
    <w:rsid w:val="00393DE8"/>
    <w:rsid w:val="003941E5"/>
    <w:rsid w:val="0039462C"/>
    <w:rsid w:val="00395CF2"/>
    <w:rsid w:val="003972C5"/>
    <w:rsid w:val="003A09E1"/>
    <w:rsid w:val="003A1DD2"/>
    <w:rsid w:val="003A2223"/>
    <w:rsid w:val="003A2A0F"/>
    <w:rsid w:val="003A2C0A"/>
    <w:rsid w:val="003A45A1"/>
    <w:rsid w:val="003A5B0A"/>
    <w:rsid w:val="003A6BAC"/>
    <w:rsid w:val="003A70A4"/>
    <w:rsid w:val="003A7EF3"/>
    <w:rsid w:val="003A7F98"/>
    <w:rsid w:val="003B01FD"/>
    <w:rsid w:val="003B0295"/>
    <w:rsid w:val="003B0690"/>
    <w:rsid w:val="003B159C"/>
    <w:rsid w:val="003B2145"/>
    <w:rsid w:val="003B369F"/>
    <w:rsid w:val="003B36A3"/>
    <w:rsid w:val="003B45B6"/>
    <w:rsid w:val="003B497B"/>
    <w:rsid w:val="003B55D3"/>
    <w:rsid w:val="003B5663"/>
    <w:rsid w:val="003B64BB"/>
    <w:rsid w:val="003B7FE5"/>
    <w:rsid w:val="003C11C8"/>
    <w:rsid w:val="003C1BAF"/>
    <w:rsid w:val="003C1CD1"/>
    <w:rsid w:val="003C2702"/>
    <w:rsid w:val="003C3A3B"/>
    <w:rsid w:val="003C3F63"/>
    <w:rsid w:val="003C4376"/>
    <w:rsid w:val="003C5086"/>
    <w:rsid w:val="003C596A"/>
    <w:rsid w:val="003C7806"/>
    <w:rsid w:val="003C7B61"/>
    <w:rsid w:val="003D0102"/>
    <w:rsid w:val="003D109F"/>
    <w:rsid w:val="003D2478"/>
    <w:rsid w:val="003D31A7"/>
    <w:rsid w:val="003D3C45"/>
    <w:rsid w:val="003D3CB0"/>
    <w:rsid w:val="003D4508"/>
    <w:rsid w:val="003D5834"/>
    <w:rsid w:val="003D5B1F"/>
    <w:rsid w:val="003D61D4"/>
    <w:rsid w:val="003E15FA"/>
    <w:rsid w:val="003E17DD"/>
    <w:rsid w:val="003E1C7B"/>
    <w:rsid w:val="003E2047"/>
    <w:rsid w:val="003E340C"/>
    <w:rsid w:val="003E349C"/>
    <w:rsid w:val="003E3FA9"/>
    <w:rsid w:val="003E45E6"/>
    <w:rsid w:val="003E4655"/>
    <w:rsid w:val="003E55E4"/>
    <w:rsid w:val="003E74E3"/>
    <w:rsid w:val="003F05C7"/>
    <w:rsid w:val="003F0CC3"/>
    <w:rsid w:val="003F117D"/>
    <w:rsid w:val="003F260B"/>
    <w:rsid w:val="003F29EA"/>
    <w:rsid w:val="003F2CD4"/>
    <w:rsid w:val="003F3A40"/>
    <w:rsid w:val="003F4F8E"/>
    <w:rsid w:val="003F6BBE"/>
    <w:rsid w:val="003F7CBE"/>
    <w:rsid w:val="004000E8"/>
    <w:rsid w:val="004002A1"/>
    <w:rsid w:val="004009A1"/>
    <w:rsid w:val="00401AA6"/>
    <w:rsid w:val="00402E2B"/>
    <w:rsid w:val="004042FA"/>
    <w:rsid w:val="0040512B"/>
    <w:rsid w:val="00405B75"/>
    <w:rsid w:val="00405CA5"/>
    <w:rsid w:val="00405ECE"/>
    <w:rsid w:val="0040685D"/>
    <w:rsid w:val="00406994"/>
    <w:rsid w:val="00406B1B"/>
    <w:rsid w:val="00406CF6"/>
    <w:rsid w:val="004077A1"/>
    <w:rsid w:val="00407BA9"/>
    <w:rsid w:val="00407CD3"/>
    <w:rsid w:val="00407EDF"/>
    <w:rsid w:val="00410134"/>
    <w:rsid w:val="00410B72"/>
    <w:rsid w:val="00410E77"/>
    <w:rsid w:val="00410F18"/>
    <w:rsid w:val="00411F28"/>
    <w:rsid w:val="0041263E"/>
    <w:rsid w:val="004128B8"/>
    <w:rsid w:val="00412EAF"/>
    <w:rsid w:val="00413551"/>
    <w:rsid w:val="00413AAC"/>
    <w:rsid w:val="00413E92"/>
    <w:rsid w:val="00414147"/>
    <w:rsid w:val="004150A7"/>
    <w:rsid w:val="004156F7"/>
    <w:rsid w:val="00417871"/>
    <w:rsid w:val="00420266"/>
    <w:rsid w:val="00420482"/>
    <w:rsid w:val="00420AEC"/>
    <w:rsid w:val="00420B9E"/>
    <w:rsid w:val="00420EE6"/>
    <w:rsid w:val="00421105"/>
    <w:rsid w:val="004212A7"/>
    <w:rsid w:val="004212C1"/>
    <w:rsid w:val="00421885"/>
    <w:rsid w:val="00421BC2"/>
    <w:rsid w:val="00421F51"/>
    <w:rsid w:val="00422684"/>
    <w:rsid w:val="00422AA4"/>
    <w:rsid w:val="00422FE2"/>
    <w:rsid w:val="00423964"/>
    <w:rsid w:val="00423B16"/>
    <w:rsid w:val="00423EE0"/>
    <w:rsid w:val="004242F4"/>
    <w:rsid w:val="0042555E"/>
    <w:rsid w:val="004266E9"/>
    <w:rsid w:val="00427248"/>
    <w:rsid w:val="004275F4"/>
    <w:rsid w:val="00427905"/>
    <w:rsid w:val="00430426"/>
    <w:rsid w:val="00430915"/>
    <w:rsid w:val="00431766"/>
    <w:rsid w:val="00433B14"/>
    <w:rsid w:val="00437447"/>
    <w:rsid w:val="00437CBA"/>
    <w:rsid w:val="00437DA0"/>
    <w:rsid w:val="00440AB6"/>
    <w:rsid w:val="0044196C"/>
    <w:rsid w:val="00441A92"/>
    <w:rsid w:val="00441AFC"/>
    <w:rsid w:val="004421A1"/>
    <w:rsid w:val="00442F59"/>
    <w:rsid w:val="004431DC"/>
    <w:rsid w:val="00444F56"/>
    <w:rsid w:val="00445F9D"/>
    <w:rsid w:val="00446118"/>
    <w:rsid w:val="0044611F"/>
    <w:rsid w:val="00446488"/>
    <w:rsid w:val="00446B03"/>
    <w:rsid w:val="00447F9A"/>
    <w:rsid w:val="004504FB"/>
    <w:rsid w:val="00450651"/>
    <w:rsid w:val="004517AA"/>
    <w:rsid w:val="00451BDE"/>
    <w:rsid w:val="0045266D"/>
    <w:rsid w:val="00452917"/>
    <w:rsid w:val="00452CAC"/>
    <w:rsid w:val="00454A4B"/>
    <w:rsid w:val="004565DF"/>
    <w:rsid w:val="00456FFC"/>
    <w:rsid w:val="00457565"/>
    <w:rsid w:val="00457B71"/>
    <w:rsid w:val="00460E52"/>
    <w:rsid w:val="00460FE0"/>
    <w:rsid w:val="00461C36"/>
    <w:rsid w:val="004632E2"/>
    <w:rsid w:val="00463D59"/>
    <w:rsid w:val="00464689"/>
    <w:rsid w:val="00465E4C"/>
    <w:rsid w:val="00466016"/>
    <w:rsid w:val="004669E2"/>
    <w:rsid w:val="00467222"/>
    <w:rsid w:val="00467E78"/>
    <w:rsid w:val="00470C31"/>
    <w:rsid w:val="00471917"/>
    <w:rsid w:val="00471CD2"/>
    <w:rsid w:val="00471DE0"/>
    <w:rsid w:val="004720F8"/>
    <w:rsid w:val="004724CA"/>
    <w:rsid w:val="00472829"/>
    <w:rsid w:val="00472C06"/>
    <w:rsid w:val="00473105"/>
    <w:rsid w:val="004734D0"/>
    <w:rsid w:val="00473D20"/>
    <w:rsid w:val="00473E05"/>
    <w:rsid w:val="00474198"/>
    <w:rsid w:val="0047556B"/>
    <w:rsid w:val="0047559C"/>
    <w:rsid w:val="00475C40"/>
    <w:rsid w:val="00475DDD"/>
    <w:rsid w:val="004770C4"/>
    <w:rsid w:val="00477768"/>
    <w:rsid w:val="00477B5E"/>
    <w:rsid w:val="00477B65"/>
    <w:rsid w:val="00477D65"/>
    <w:rsid w:val="00480C4B"/>
    <w:rsid w:val="00481980"/>
    <w:rsid w:val="00481997"/>
    <w:rsid w:val="00484A6D"/>
    <w:rsid w:val="004852F5"/>
    <w:rsid w:val="004861B6"/>
    <w:rsid w:val="004877E6"/>
    <w:rsid w:val="00487FB6"/>
    <w:rsid w:val="00491118"/>
    <w:rsid w:val="0049128F"/>
    <w:rsid w:val="0049258A"/>
    <w:rsid w:val="00492BC5"/>
    <w:rsid w:val="004964F1"/>
    <w:rsid w:val="00496F49"/>
    <w:rsid w:val="0049793D"/>
    <w:rsid w:val="00497A22"/>
    <w:rsid w:val="00497BA9"/>
    <w:rsid w:val="00497DB8"/>
    <w:rsid w:val="004A055F"/>
    <w:rsid w:val="004A16BC"/>
    <w:rsid w:val="004A1906"/>
    <w:rsid w:val="004A1A42"/>
    <w:rsid w:val="004A2521"/>
    <w:rsid w:val="004A2B94"/>
    <w:rsid w:val="004A6671"/>
    <w:rsid w:val="004A6886"/>
    <w:rsid w:val="004A7100"/>
    <w:rsid w:val="004B0E9B"/>
    <w:rsid w:val="004B12B5"/>
    <w:rsid w:val="004B24B1"/>
    <w:rsid w:val="004B28DB"/>
    <w:rsid w:val="004B34BB"/>
    <w:rsid w:val="004B3FE4"/>
    <w:rsid w:val="004B5701"/>
    <w:rsid w:val="004B580E"/>
    <w:rsid w:val="004B5D48"/>
    <w:rsid w:val="004B61CA"/>
    <w:rsid w:val="004B6F6A"/>
    <w:rsid w:val="004B7C0C"/>
    <w:rsid w:val="004B7FA7"/>
    <w:rsid w:val="004C02F1"/>
    <w:rsid w:val="004C11E0"/>
    <w:rsid w:val="004C1C2D"/>
    <w:rsid w:val="004C3173"/>
    <w:rsid w:val="004C3898"/>
    <w:rsid w:val="004C38FB"/>
    <w:rsid w:val="004C433F"/>
    <w:rsid w:val="004C4A87"/>
    <w:rsid w:val="004C4D2B"/>
    <w:rsid w:val="004C4DEF"/>
    <w:rsid w:val="004C5144"/>
    <w:rsid w:val="004C6672"/>
    <w:rsid w:val="004C6A28"/>
    <w:rsid w:val="004C79D6"/>
    <w:rsid w:val="004C7EBB"/>
    <w:rsid w:val="004D05E9"/>
    <w:rsid w:val="004D0733"/>
    <w:rsid w:val="004D0A6C"/>
    <w:rsid w:val="004D2C97"/>
    <w:rsid w:val="004D344D"/>
    <w:rsid w:val="004D36B1"/>
    <w:rsid w:val="004D381E"/>
    <w:rsid w:val="004D3EF9"/>
    <w:rsid w:val="004D5BB2"/>
    <w:rsid w:val="004D5C62"/>
    <w:rsid w:val="004D5E31"/>
    <w:rsid w:val="004D5E40"/>
    <w:rsid w:val="004D6149"/>
    <w:rsid w:val="004D6297"/>
    <w:rsid w:val="004D73E4"/>
    <w:rsid w:val="004D7EBD"/>
    <w:rsid w:val="004E1B02"/>
    <w:rsid w:val="004E23CB"/>
    <w:rsid w:val="004E2680"/>
    <w:rsid w:val="004E28F9"/>
    <w:rsid w:val="004E33A6"/>
    <w:rsid w:val="004E3E38"/>
    <w:rsid w:val="004E3F53"/>
    <w:rsid w:val="004E41FF"/>
    <w:rsid w:val="004E462E"/>
    <w:rsid w:val="004E4C08"/>
    <w:rsid w:val="004E4F60"/>
    <w:rsid w:val="004E56DC"/>
    <w:rsid w:val="004E5786"/>
    <w:rsid w:val="004E76F4"/>
    <w:rsid w:val="004F076C"/>
    <w:rsid w:val="004F0B4E"/>
    <w:rsid w:val="004F0B6C"/>
    <w:rsid w:val="004F2078"/>
    <w:rsid w:val="004F2712"/>
    <w:rsid w:val="004F33BC"/>
    <w:rsid w:val="004F3648"/>
    <w:rsid w:val="004F3995"/>
    <w:rsid w:val="004F4562"/>
    <w:rsid w:val="004F4A98"/>
    <w:rsid w:val="004F4DA3"/>
    <w:rsid w:val="004F5CEE"/>
    <w:rsid w:val="004F6049"/>
    <w:rsid w:val="004F76F1"/>
    <w:rsid w:val="00502CE2"/>
    <w:rsid w:val="005033E7"/>
    <w:rsid w:val="00504FC7"/>
    <w:rsid w:val="00506557"/>
    <w:rsid w:val="0050677A"/>
    <w:rsid w:val="00507096"/>
    <w:rsid w:val="00510046"/>
    <w:rsid w:val="005108D8"/>
    <w:rsid w:val="00510951"/>
    <w:rsid w:val="00511303"/>
    <w:rsid w:val="005116F9"/>
    <w:rsid w:val="00512971"/>
    <w:rsid w:val="005129ED"/>
    <w:rsid w:val="005135E9"/>
    <w:rsid w:val="005153A7"/>
    <w:rsid w:val="00517C86"/>
    <w:rsid w:val="005219CF"/>
    <w:rsid w:val="0052213F"/>
    <w:rsid w:val="0052437D"/>
    <w:rsid w:val="00524630"/>
    <w:rsid w:val="00524805"/>
    <w:rsid w:val="00525BB5"/>
    <w:rsid w:val="00527248"/>
    <w:rsid w:val="0052768D"/>
    <w:rsid w:val="00530FF9"/>
    <w:rsid w:val="005319A9"/>
    <w:rsid w:val="00532CC1"/>
    <w:rsid w:val="00532FB5"/>
    <w:rsid w:val="005331B4"/>
    <w:rsid w:val="00533484"/>
    <w:rsid w:val="005337A5"/>
    <w:rsid w:val="00534A64"/>
    <w:rsid w:val="00534B59"/>
    <w:rsid w:val="00535071"/>
    <w:rsid w:val="005358CB"/>
    <w:rsid w:val="00536759"/>
    <w:rsid w:val="00536764"/>
    <w:rsid w:val="0053681C"/>
    <w:rsid w:val="00536A99"/>
    <w:rsid w:val="00537126"/>
    <w:rsid w:val="00537C62"/>
    <w:rsid w:val="00540574"/>
    <w:rsid w:val="00541432"/>
    <w:rsid w:val="00541FE0"/>
    <w:rsid w:val="00542873"/>
    <w:rsid w:val="0054382D"/>
    <w:rsid w:val="0054484D"/>
    <w:rsid w:val="00544CAE"/>
    <w:rsid w:val="00546728"/>
    <w:rsid w:val="00546970"/>
    <w:rsid w:val="0054784B"/>
    <w:rsid w:val="00547F76"/>
    <w:rsid w:val="0055013F"/>
    <w:rsid w:val="00550B54"/>
    <w:rsid w:val="005511AD"/>
    <w:rsid w:val="005543ED"/>
    <w:rsid w:val="00554E19"/>
    <w:rsid w:val="0055535A"/>
    <w:rsid w:val="0055588D"/>
    <w:rsid w:val="00556E80"/>
    <w:rsid w:val="00560295"/>
    <w:rsid w:val="005603AF"/>
    <w:rsid w:val="0056050C"/>
    <w:rsid w:val="00560F18"/>
    <w:rsid w:val="0056121F"/>
    <w:rsid w:val="00561826"/>
    <w:rsid w:val="00563913"/>
    <w:rsid w:val="00565611"/>
    <w:rsid w:val="005658F2"/>
    <w:rsid w:val="00567C59"/>
    <w:rsid w:val="00571848"/>
    <w:rsid w:val="00571B10"/>
    <w:rsid w:val="005722AC"/>
    <w:rsid w:val="00572505"/>
    <w:rsid w:val="005730BB"/>
    <w:rsid w:val="00573BF1"/>
    <w:rsid w:val="0057463D"/>
    <w:rsid w:val="00574681"/>
    <w:rsid w:val="00574869"/>
    <w:rsid w:val="00574966"/>
    <w:rsid w:val="00574AB7"/>
    <w:rsid w:val="005763EB"/>
    <w:rsid w:val="00576467"/>
    <w:rsid w:val="00576812"/>
    <w:rsid w:val="00577075"/>
    <w:rsid w:val="005803DF"/>
    <w:rsid w:val="005818EE"/>
    <w:rsid w:val="00582809"/>
    <w:rsid w:val="005856A9"/>
    <w:rsid w:val="005859D6"/>
    <w:rsid w:val="00586A90"/>
    <w:rsid w:val="0058798C"/>
    <w:rsid w:val="005900FA"/>
    <w:rsid w:val="00590300"/>
    <w:rsid w:val="00590CDF"/>
    <w:rsid w:val="005927D8"/>
    <w:rsid w:val="005935A4"/>
    <w:rsid w:val="005948C2"/>
    <w:rsid w:val="00594BE3"/>
    <w:rsid w:val="00595DCA"/>
    <w:rsid w:val="00596476"/>
    <w:rsid w:val="0059779B"/>
    <w:rsid w:val="005A0437"/>
    <w:rsid w:val="005A065D"/>
    <w:rsid w:val="005A0F5B"/>
    <w:rsid w:val="005A1BE5"/>
    <w:rsid w:val="005A209A"/>
    <w:rsid w:val="005A20A2"/>
    <w:rsid w:val="005A2CD5"/>
    <w:rsid w:val="005A2F84"/>
    <w:rsid w:val="005A343B"/>
    <w:rsid w:val="005A3C7C"/>
    <w:rsid w:val="005A52EB"/>
    <w:rsid w:val="005A57A6"/>
    <w:rsid w:val="005A5D72"/>
    <w:rsid w:val="005A5E96"/>
    <w:rsid w:val="005A637D"/>
    <w:rsid w:val="005A662D"/>
    <w:rsid w:val="005A6E6F"/>
    <w:rsid w:val="005B108D"/>
    <w:rsid w:val="005B1409"/>
    <w:rsid w:val="005B35D7"/>
    <w:rsid w:val="005B392A"/>
    <w:rsid w:val="005B3AA3"/>
    <w:rsid w:val="005B46C2"/>
    <w:rsid w:val="005B6F83"/>
    <w:rsid w:val="005B7323"/>
    <w:rsid w:val="005B7DEF"/>
    <w:rsid w:val="005C01FB"/>
    <w:rsid w:val="005C036F"/>
    <w:rsid w:val="005C1071"/>
    <w:rsid w:val="005C158D"/>
    <w:rsid w:val="005C1BBB"/>
    <w:rsid w:val="005C26EC"/>
    <w:rsid w:val="005C5958"/>
    <w:rsid w:val="005C74FB"/>
    <w:rsid w:val="005C7555"/>
    <w:rsid w:val="005C7A8B"/>
    <w:rsid w:val="005D054D"/>
    <w:rsid w:val="005D1602"/>
    <w:rsid w:val="005D2F3B"/>
    <w:rsid w:val="005D3BD4"/>
    <w:rsid w:val="005D60E3"/>
    <w:rsid w:val="005D663A"/>
    <w:rsid w:val="005D70E3"/>
    <w:rsid w:val="005E04F5"/>
    <w:rsid w:val="005E2072"/>
    <w:rsid w:val="005E21B5"/>
    <w:rsid w:val="005E2984"/>
    <w:rsid w:val="005E385F"/>
    <w:rsid w:val="005E3D41"/>
    <w:rsid w:val="005E42E1"/>
    <w:rsid w:val="005E4E89"/>
    <w:rsid w:val="005E5B81"/>
    <w:rsid w:val="005E5F7A"/>
    <w:rsid w:val="005E6CB8"/>
    <w:rsid w:val="005F1A08"/>
    <w:rsid w:val="005F1EFB"/>
    <w:rsid w:val="005F2CB1"/>
    <w:rsid w:val="005F3025"/>
    <w:rsid w:val="005F3264"/>
    <w:rsid w:val="005F612C"/>
    <w:rsid w:val="005F618C"/>
    <w:rsid w:val="005F6F51"/>
    <w:rsid w:val="005F70BD"/>
    <w:rsid w:val="005F7884"/>
    <w:rsid w:val="005F79F7"/>
    <w:rsid w:val="006000ED"/>
    <w:rsid w:val="006006AC"/>
    <w:rsid w:val="006011B6"/>
    <w:rsid w:val="00601BEF"/>
    <w:rsid w:val="0060283C"/>
    <w:rsid w:val="00603C67"/>
    <w:rsid w:val="00604F14"/>
    <w:rsid w:val="00605161"/>
    <w:rsid w:val="006053A5"/>
    <w:rsid w:val="00605E85"/>
    <w:rsid w:val="006110D4"/>
    <w:rsid w:val="00611B83"/>
    <w:rsid w:val="00613257"/>
    <w:rsid w:val="0061327D"/>
    <w:rsid w:val="00613DAE"/>
    <w:rsid w:val="00613EDE"/>
    <w:rsid w:val="00614A25"/>
    <w:rsid w:val="0061531C"/>
    <w:rsid w:val="00616870"/>
    <w:rsid w:val="006168A7"/>
    <w:rsid w:val="006172A5"/>
    <w:rsid w:val="00617D36"/>
    <w:rsid w:val="006202EE"/>
    <w:rsid w:val="0062093A"/>
    <w:rsid w:val="00620943"/>
    <w:rsid w:val="00620A71"/>
    <w:rsid w:val="00620D80"/>
    <w:rsid w:val="00623419"/>
    <w:rsid w:val="006234A6"/>
    <w:rsid w:val="00623CFE"/>
    <w:rsid w:val="00625793"/>
    <w:rsid w:val="00625A3B"/>
    <w:rsid w:val="00626014"/>
    <w:rsid w:val="0062661E"/>
    <w:rsid w:val="006269A8"/>
    <w:rsid w:val="00626B02"/>
    <w:rsid w:val="00626BCA"/>
    <w:rsid w:val="00626D03"/>
    <w:rsid w:val="00627582"/>
    <w:rsid w:val="00630001"/>
    <w:rsid w:val="006308D6"/>
    <w:rsid w:val="00630C90"/>
    <w:rsid w:val="006311B3"/>
    <w:rsid w:val="0063284C"/>
    <w:rsid w:val="006333B4"/>
    <w:rsid w:val="00633732"/>
    <w:rsid w:val="00636398"/>
    <w:rsid w:val="006368D3"/>
    <w:rsid w:val="00636B0F"/>
    <w:rsid w:val="00636B72"/>
    <w:rsid w:val="006377EC"/>
    <w:rsid w:val="00640002"/>
    <w:rsid w:val="00640281"/>
    <w:rsid w:val="0064142B"/>
    <w:rsid w:val="006414AB"/>
    <w:rsid w:val="0064151F"/>
    <w:rsid w:val="00641533"/>
    <w:rsid w:val="00641A6B"/>
    <w:rsid w:val="00642015"/>
    <w:rsid w:val="0064208D"/>
    <w:rsid w:val="00642114"/>
    <w:rsid w:val="006424A1"/>
    <w:rsid w:val="0064309D"/>
    <w:rsid w:val="00643475"/>
    <w:rsid w:val="0064396A"/>
    <w:rsid w:val="00643F7B"/>
    <w:rsid w:val="006447C3"/>
    <w:rsid w:val="0064624E"/>
    <w:rsid w:val="00646696"/>
    <w:rsid w:val="006476A4"/>
    <w:rsid w:val="00647F02"/>
    <w:rsid w:val="00650090"/>
    <w:rsid w:val="00650AB9"/>
    <w:rsid w:val="00650F1A"/>
    <w:rsid w:val="00651335"/>
    <w:rsid w:val="006527DA"/>
    <w:rsid w:val="00652A70"/>
    <w:rsid w:val="006534CE"/>
    <w:rsid w:val="0065350E"/>
    <w:rsid w:val="00653AB7"/>
    <w:rsid w:val="00653DA9"/>
    <w:rsid w:val="00655733"/>
    <w:rsid w:val="00655895"/>
    <w:rsid w:val="00655ACD"/>
    <w:rsid w:val="00655C44"/>
    <w:rsid w:val="006561C8"/>
    <w:rsid w:val="0065664D"/>
    <w:rsid w:val="00656A19"/>
    <w:rsid w:val="00656A92"/>
    <w:rsid w:val="00656B6B"/>
    <w:rsid w:val="00656DDE"/>
    <w:rsid w:val="006575A7"/>
    <w:rsid w:val="006575F5"/>
    <w:rsid w:val="00657D30"/>
    <w:rsid w:val="0066011D"/>
    <w:rsid w:val="006607C0"/>
    <w:rsid w:val="006613A6"/>
    <w:rsid w:val="006627A2"/>
    <w:rsid w:val="00662D04"/>
    <w:rsid w:val="006634E6"/>
    <w:rsid w:val="00663522"/>
    <w:rsid w:val="006655EE"/>
    <w:rsid w:val="006666F3"/>
    <w:rsid w:val="0066693B"/>
    <w:rsid w:val="00666A91"/>
    <w:rsid w:val="006674B6"/>
    <w:rsid w:val="00667DC3"/>
    <w:rsid w:val="00667EE7"/>
    <w:rsid w:val="00670812"/>
    <w:rsid w:val="00670922"/>
    <w:rsid w:val="00670BE1"/>
    <w:rsid w:val="00671701"/>
    <w:rsid w:val="00672009"/>
    <w:rsid w:val="0067218F"/>
    <w:rsid w:val="006741F2"/>
    <w:rsid w:val="00674CC3"/>
    <w:rsid w:val="00675BEB"/>
    <w:rsid w:val="00675C72"/>
    <w:rsid w:val="006771F9"/>
    <w:rsid w:val="006776D7"/>
    <w:rsid w:val="00680983"/>
    <w:rsid w:val="00681003"/>
    <w:rsid w:val="0068156E"/>
    <w:rsid w:val="006817C9"/>
    <w:rsid w:val="00682E29"/>
    <w:rsid w:val="00683ECE"/>
    <w:rsid w:val="00685CAB"/>
    <w:rsid w:val="006865DE"/>
    <w:rsid w:val="006916EA"/>
    <w:rsid w:val="00693892"/>
    <w:rsid w:val="006940AF"/>
    <w:rsid w:val="006950EB"/>
    <w:rsid w:val="00695E95"/>
    <w:rsid w:val="00695FC2"/>
    <w:rsid w:val="00696949"/>
    <w:rsid w:val="00696C31"/>
    <w:rsid w:val="00696E40"/>
    <w:rsid w:val="00697052"/>
    <w:rsid w:val="006A04EC"/>
    <w:rsid w:val="006A13B8"/>
    <w:rsid w:val="006A1542"/>
    <w:rsid w:val="006A1A5D"/>
    <w:rsid w:val="006A26AE"/>
    <w:rsid w:val="006A46FB"/>
    <w:rsid w:val="006A5336"/>
    <w:rsid w:val="006A5D19"/>
    <w:rsid w:val="006A5E28"/>
    <w:rsid w:val="006A697B"/>
    <w:rsid w:val="006A7AFF"/>
    <w:rsid w:val="006B01F3"/>
    <w:rsid w:val="006B089D"/>
    <w:rsid w:val="006B1341"/>
    <w:rsid w:val="006B1816"/>
    <w:rsid w:val="006B1E60"/>
    <w:rsid w:val="006B2099"/>
    <w:rsid w:val="006B3963"/>
    <w:rsid w:val="006B50CF"/>
    <w:rsid w:val="006B543C"/>
    <w:rsid w:val="006B54FF"/>
    <w:rsid w:val="006C03B8"/>
    <w:rsid w:val="006C2FF6"/>
    <w:rsid w:val="006C3666"/>
    <w:rsid w:val="006C3A59"/>
    <w:rsid w:val="006C5362"/>
    <w:rsid w:val="006C559C"/>
    <w:rsid w:val="006C5EC9"/>
    <w:rsid w:val="006C5FA5"/>
    <w:rsid w:val="006C6059"/>
    <w:rsid w:val="006C7522"/>
    <w:rsid w:val="006D178A"/>
    <w:rsid w:val="006D1A83"/>
    <w:rsid w:val="006D330F"/>
    <w:rsid w:val="006D39A9"/>
    <w:rsid w:val="006D3CAD"/>
    <w:rsid w:val="006D4228"/>
    <w:rsid w:val="006D4341"/>
    <w:rsid w:val="006D4B72"/>
    <w:rsid w:val="006D6F08"/>
    <w:rsid w:val="006D79D2"/>
    <w:rsid w:val="006E062C"/>
    <w:rsid w:val="006E0D23"/>
    <w:rsid w:val="006E1C82"/>
    <w:rsid w:val="006E28B7"/>
    <w:rsid w:val="006E2A9B"/>
    <w:rsid w:val="006E2BF6"/>
    <w:rsid w:val="006E3310"/>
    <w:rsid w:val="006E4E39"/>
    <w:rsid w:val="006E5190"/>
    <w:rsid w:val="006E565E"/>
    <w:rsid w:val="006E5DA8"/>
    <w:rsid w:val="006E5E63"/>
    <w:rsid w:val="006E6155"/>
    <w:rsid w:val="006E673D"/>
    <w:rsid w:val="006E7D3B"/>
    <w:rsid w:val="006E7E56"/>
    <w:rsid w:val="006F04C4"/>
    <w:rsid w:val="006F1B70"/>
    <w:rsid w:val="006F2E8E"/>
    <w:rsid w:val="006F341D"/>
    <w:rsid w:val="006F3CDE"/>
    <w:rsid w:val="006F4A61"/>
    <w:rsid w:val="006F53C2"/>
    <w:rsid w:val="006F58D4"/>
    <w:rsid w:val="006F6582"/>
    <w:rsid w:val="007000D8"/>
    <w:rsid w:val="00700428"/>
    <w:rsid w:val="00701158"/>
    <w:rsid w:val="00701405"/>
    <w:rsid w:val="00701C3D"/>
    <w:rsid w:val="00701D54"/>
    <w:rsid w:val="00702622"/>
    <w:rsid w:val="0070346E"/>
    <w:rsid w:val="00703802"/>
    <w:rsid w:val="00703CD7"/>
    <w:rsid w:val="00704A7A"/>
    <w:rsid w:val="00704B1F"/>
    <w:rsid w:val="00704EDB"/>
    <w:rsid w:val="00705AF2"/>
    <w:rsid w:val="00705B6D"/>
    <w:rsid w:val="00706101"/>
    <w:rsid w:val="00706830"/>
    <w:rsid w:val="00707072"/>
    <w:rsid w:val="00707295"/>
    <w:rsid w:val="00707D61"/>
    <w:rsid w:val="00712287"/>
    <w:rsid w:val="00712772"/>
    <w:rsid w:val="00713303"/>
    <w:rsid w:val="0071331C"/>
    <w:rsid w:val="007148D3"/>
    <w:rsid w:val="00714968"/>
    <w:rsid w:val="00714ED4"/>
    <w:rsid w:val="00715591"/>
    <w:rsid w:val="00715B9A"/>
    <w:rsid w:val="007173EB"/>
    <w:rsid w:val="00717EAC"/>
    <w:rsid w:val="00721B32"/>
    <w:rsid w:val="00722BCB"/>
    <w:rsid w:val="00724836"/>
    <w:rsid w:val="00724D8C"/>
    <w:rsid w:val="00725261"/>
    <w:rsid w:val="007257D0"/>
    <w:rsid w:val="00726EA6"/>
    <w:rsid w:val="00727208"/>
    <w:rsid w:val="00727680"/>
    <w:rsid w:val="00733151"/>
    <w:rsid w:val="00733B9B"/>
    <w:rsid w:val="00733DF4"/>
    <w:rsid w:val="007348B1"/>
    <w:rsid w:val="0073493D"/>
    <w:rsid w:val="007350B9"/>
    <w:rsid w:val="007362A6"/>
    <w:rsid w:val="00736D7D"/>
    <w:rsid w:val="00740E58"/>
    <w:rsid w:val="0074210B"/>
    <w:rsid w:val="00742DD5"/>
    <w:rsid w:val="007437A1"/>
    <w:rsid w:val="007445A0"/>
    <w:rsid w:val="00744859"/>
    <w:rsid w:val="00744F75"/>
    <w:rsid w:val="0074524B"/>
    <w:rsid w:val="0074793E"/>
    <w:rsid w:val="00747D8B"/>
    <w:rsid w:val="00750136"/>
    <w:rsid w:val="00750755"/>
    <w:rsid w:val="00750F3C"/>
    <w:rsid w:val="00750FA9"/>
    <w:rsid w:val="00751228"/>
    <w:rsid w:val="007512F9"/>
    <w:rsid w:val="007517F0"/>
    <w:rsid w:val="007528C0"/>
    <w:rsid w:val="00756067"/>
    <w:rsid w:val="007562C6"/>
    <w:rsid w:val="0075636E"/>
    <w:rsid w:val="0075655C"/>
    <w:rsid w:val="007571E1"/>
    <w:rsid w:val="0076040E"/>
    <w:rsid w:val="007604B2"/>
    <w:rsid w:val="00761414"/>
    <w:rsid w:val="00761EBB"/>
    <w:rsid w:val="00763BED"/>
    <w:rsid w:val="00763DFA"/>
    <w:rsid w:val="00765281"/>
    <w:rsid w:val="00765426"/>
    <w:rsid w:val="00765DEA"/>
    <w:rsid w:val="007661CE"/>
    <w:rsid w:val="00766BAD"/>
    <w:rsid w:val="007675EC"/>
    <w:rsid w:val="0076760E"/>
    <w:rsid w:val="00767E3A"/>
    <w:rsid w:val="00770199"/>
    <w:rsid w:val="00771AEB"/>
    <w:rsid w:val="007729A2"/>
    <w:rsid w:val="00772FC6"/>
    <w:rsid w:val="00773553"/>
    <w:rsid w:val="007755F2"/>
    <w:rsid w:val="00775C38"/>
    <w:rsid w:val="0077600C"/>
    <w:rsid w:val="00776971"/>
    <w:rsid w:val="0077767D"/>
    <w:rsid w:val="00777CC5"/>
    <w:rsid w:val="0078035E"/>
    <w:rsid w:val="00780A80"/>
    <w:rsid w:val="0078177E"/>
    <w:rsid w:val="00782A6A"/>
    <w:rsid w:val="0078304C"/>
    <w:rsid w:val="00783673"/>
    <w:rsid w:val="0078411E"/>
    <w:rsid w:val="00785490"/>
    <w:rsid w:val="00787121"/>
    <w:rsid w:val="00790FD2"/>
    <w:rsid w:val="007917A9"/>
    <w:rsid w:val="007925EA"/>
    <w:rsid w:val="007927C5"/>
    <w:rsid w:val="007932AF"/>
    <w:rsid w:val="0079369F"/>
    <w:rsid w:val="00793CD8"/>
    <w:rsid w:val="0079463C"/>
    <w:rsid w:val="00794AF3"/>
    <w:rsid w:val="00794B48"/>
    <w:rsid w:val="00795C92"/>
    <w:rsid w:val="00796231"/>
    <w:rsid w:val="00796940"/>
    <w:rsid w:val="007A17E3"/>
    <w:rsid w:val="007A1CB3"/>
    <w:rsid w:val="007A306F"/>
    <w:rsid w:val="007A3BD3"/>
    <w:rsid w:val="007A43A6"/>
    <w:rsid w:val="007A44B6"/>
    <w:rsid w:val="007A4EF7"/>
    <w:rsid w:val="007A58A6"/>
    <w:rsid w:val="007B007C"/>
    <w:rsid w:val="007B042B"/>
    <w:rsid w:val="007B0DE2"/>
    <w:rsid w:val="007B265C"/>
    <w:rsid w:val="007B3D2D"/>
    <w:rsid w:val="007B50AE"/>
    <w:rsid w:val="007B51DF"/>
    <w:rsid w:val="007B5F67"/>
    <w:rsid w:val="007B642D"/>
    <w:rsid w:val="007B6FD9"/>
    <w:rsid w:val="007B7D2D"/>
    <w:rsid w:val="007C05DD"/>
    <w:rsid w:val="007C0609"/>
    <w:rsid w:val="007C31D2"/>
    <w:rsid w:val="007C386B"/>
    <w:rsid w:val="007C3D18"/>
    <w:rsid w:val="007C4F39"/>
    <w:rsid w:val="007C5B16"/>
    <w:rsid w:val="007C60BF"/>
    <w:rsid w:val="007C62D7"/>
    <w:rsid w:val="007C6A07"/>
    <w:rsid w:val="007C6B7B"/>
    <w:rsid w:val="007C707A"/>
    <w:rsid w:val="007C736D"/>
    <w:rsid w:val="007C75A1"/>
    <w:rsid w:val="007C77A5"/>
    <w:rsid w:val="007C7C7E"/>
    <w:rsid w:val="007D04E5"/>
    <w:rsid w:val="007D0A06"/>
    <w:rsid w:val="007D0E18"/>
    <w:rsid w:val="007D1B59"/>
    <w:rsid w:val="007D1C31"/>
    <w:rsid w:val="007D1D8F"/>
    <w:rsid w:val="007D4AF1"/>
    <w:rsid w:val="007D5901"/>
    <w:rsid w:val="007D6BC7"/>
    <w:rsid w:val="007D74E9"/>
    <w:rsid w:val="007D7526"/>
    <w:rsid w:val="007D7638"/>
    <w:rsid w:val="007E187D"/>
    <w:rsid w:val="007E303B"/>
    <w:rsid w:val="007E3F21"/>
    <w:rsid w:val="007E4610"/>
    <w:rsid w:val="007E4715"/>
    <w:rsid w:val="007E505B"/>
    <w:rsid w:val="007E55F4"/>
    <w:rsid w:val="007E61F5"/>
    <w:rsid w:val="007E658F"/>
    <w:rsid w:val="007E6CC9"/>
    <w:rsid w:val="007E6F52"/>
    <w:rsid w:val="007E7091"/>
    <w:rsid w:val="007E75F1"/>
    <w:rsid w:val="007F0F84"/>
    <w:rsid w:val="007F1053"/>
    <w:rsid w:val="007F207F"/>
    <w:rsid w:val="007F3206"/>
    <w:rsid w:val="007F395D"/>
    <w:rsid w:val="007F3BD2"/>
    <w:rsid w:val="008013AF"/>
    <w:rsid w:val="00801850"/>
    <w:rsid w:val="008018BC"/>
    <w:rsid w:val="00801B93"/>
    <w:rsid w:val="008020BF"/>
    <w:rsid w:val="00802262"/>
    <w:rsid w:val="008026EC"/>
    <w:rsid w:val="008037ED"/>
    <w:rsid w:val="00803FAE"/>
    <w:rsid w:val="00804323"/>
    <w:rsid w:val="00805298"/>
    <w:rsid w:val="008058F7"/>
    <w:rsid w:val="0080605F"/>
    <w:rsid w:val="00806D4A"/>
    <w:rsid w:val="00807786"/>
    <w:rsid w:val="0081088D"/>
    <w:rsid w:val="00811FCB"/>
    <w:rsid w:val="00812B86"/>
    <w:rsid w:val="00812DF0"/>
    <w:rsid w:val="008158D6"/>
    <w:rsid w:val="00817082"/>
    <w:rsid w:val="00817196"/>
    <w:rsid w:val="008208E9"/>
    <w:rsid w:val="008216A7"/>
    <w:rsid w:val="008227C3"/>
    <w:rsid w:val="008235DB"/>
    <w:rsid w:val="00823E38"/>
    <w:rsid w:val="00824AB4"/>
    <w:rsid w:val="00824B6C"/>
    <w:rsid w:val="00825C42"/>
    <w:rsid w:val="00825D25"/>
    <w:rsid w:val="008270CC"/>
    <w:rsid w:val="00827510"/>
    <w:rsid w:val="00827D6F"/>
    <w:rsid w:val="00831DD5"/>
    <w:rsid w:val="00831DE4"/>
    <w:rsid w:val="008324AA"/>
    <w:rsid w:val="0083387D"/>
    <w:rsid w:val="00835975"/>
    <w:rsid w:val="00835D4A"/>
    <w:rsid w:val="0083704B"/>
    <w:rsid w:val="008376AC"/>
    <w:rsid w:val="008444E8"/>
    <w:rsid w:val="00844E74"/>
    <w:rsid w:val="00844E80"/>
    <w:rsid w:val="00845227"/>
    <w:rsid w:val="00846FE7"/>
    <w:rsid w:val="00850CA4"/>
    <w:rsid w:val="00852E42"/>
    <w:rsid w:val="00854B88"/>
    <w:rsid w:val="00854C3A"/>
    <w:rsid w:val="00854CE8"/>
    <w:rsid w:val="00854EDD"/>
    <w:rsid w:val="00855B42"/>
    <w:rsid w:val="00856607"/>
    <w:rsid w:val="00856911"/>
    <w:rsid w:val="0085736F"/>
    <w:rsid w:val="008602E1"/>
    <w:rsid w:val="008604DA"/>
    <w:rsid w:val="00860F54"/>
    <w:rsid w:val="008614C1"/>
    <w:rsid w:val="00862F4A"/>
    <w:rsid w:val="00863FD0"/>
    <w:rsid w:val="008649A5"/>
    <w:rsid w:val="008667BF"/>
    <w:rsid w:val="00866829"/>
    <w:rsid w:val="00867315"/>
    <w:rsid w:val="008677FD"/>
    <w:rsid w:val="008706D4"/>
    <w:rsid w:val="00870F8A"/>
    <w:rsid w:val="00871867"/>
    <w:rsid w:val="008719A4"/>
    <w:rsid w:val="00871D23"/>
    <w:rsid w:val="00872C01"/>
    <w:rsid w:val="00873AC5"/>
    <w:rsid w:val="00873BC8"/>
    <w:rsid w:val="00874191"/>
    <w:rsid w:val="00874312"/>
    <w:rsid w:val="0087437C"/>
    <w:rsid w:val="00874DBE"/>
    <w:rsid w:val="00875074"/>
    <w:rsid w:val="00875892"/>
    <w:rsid w:val="00875CD7"/>
    <w:rsid w:val="00876B4D"/>
    <w:rsid w:val="00877F18"/>
    <w:rsid w:val="00877F48"/>
    <w:rsid w:val="00880F82"/>
    <w:rsid w:val="00882189"/>
    <w:rsid w:val="0088532A"/>
    <w:rsid w:val="00886B9D"/>
    <w:rsid w:val="008878AE"/>
    <w:rsid w:val="0089027E"/>
    <w:rsid w:val="00891732"/>
    <w:rsid w:val="00892C7A"/>
    <w:rsid w:val="00892FE8"/>
    <w:rsid w:val="008941E3"/>
    <w:rsid w:val="00894A88"/>
    <w:rsid w:val="00895386"/>
    <w:rsid w:val="0089752D"/>
    <w:rsid w:val="008A1B21"/>
    <w:rsid w:val="008A1D5C"/>
    <w:rsid w:val="008A21FF"/>
    <w:rsid w:val="008A2AAD"/>
    <w:rsid w:val="008A2CE2"/>
    <w:rsid w:val="008A30AC"/>
    <w:rsid w:val="008A3EDE"/>
    <w:rsid w:val="008A44B8"/>
    <w:rsid w:val="008A45EE"/>
    <w:rsid w:val="008A4AF8"/>
    <w:rsid w:val="008A4C69"/>
    <w:rsid w:val="008A51A8"/>
    <w:rsid w:val="008A54C7"/>
    <w:rsid w:val="008A5D99"/>
    <w:rsid w:val="008A61DC"/>
    <w:rsid w:val="008A7378"/>
    <w:rsid w:val="008A759F"/>
    <w:rsid w:val="008A77D8"/>
    <w:rsid w:val="008A7846"/>
    <w:rsid w:val="008A7C1E"/>
    <w:rsid w:val="008B00CD"/>
    <w:rsid w:val="008B0483"/>
    <w:rsid w:val="008B0DD5"/>
    <w:rsid w:val="008B120C"/>
    <w:rsid w:val="008B25F7"/>
    <w:rsid w:val="008B2634"/>
    <w:rsid w:val="008B3473"/>
    <w:rsid w:val="008B44CD"/>
    <w:rsid w:val="008B51A0"/>
    <w:rsid w:val="008B5590"/>
    <w:rsid w:val="008B592A"/>
    <w:rsid w:val="008B5E78"/>
    <w:rsid w:val="008B64B8"/>
    <w:rsid w:val="008B67BA"/>
    <w:rsid w:val="008B690A"/>
    <w:rsid w:val="008B743C"/>
    <w:rsid w:val="008B79CA"/>
    <w:rsid w:val="008B7B5C"/>
    <w:rsid w:val="008C0C99"/>
    <w:rsid w:val="008C1310"/>
    <w:rsid w:val="008C1CF5"/>
    <w:rsid w:val="008C1F6B"/>
    <w:rsid w:val="008C2017"/>
    <w:rsid w:val="008C3BA3"/>
    <w:rsid w:val="008C3E33"/>
    <w:rsid w:val="008C4958"/>
    <w:rsid w:val="008C4BAA"/>
    <w:rsid w:val="008C5436"/>
    <w:rsid w:val="008C6AE8"/>
    <w:rsid w:val="008C7573"/>
    <w:rsid w:val="008C7EE6"/>
    <w:rsid w:val="008D00A5"/>
    <w:rsid w:val="008D04AA"/>
    <w:rsid w:val="008D086E"/>
    <w:rsid w:val="008D34F1"/>
    <w:rsid w:val="008D39D8"/>
    <w:rsid w:val="008D6726"/>
    <w:rsid w:val="008D6925"/>
    <w:rsid w:val="008D6D1A"/>
    <w:rsid w:val="008D6ED4"/>
    <w:rsid w:val="008D79FC"/>
    <w:rsid w:val="008E065E"/>
    <w:rsid w:val="008E0927"/>
    <w:rsid w:val="008E1909"/>
    <w:rsid w:val="008E3126"/>
    <w:rsid w:val="008E3228"/>
    <w:rsid w:val="008E3B6C"/>
    <w:rsid w:val="008E3CD3"/>
    <w:rsid w:val="008E5BC5"/>
    <w:rsid w:val="008E74BA"/>
    <w:rsid w:val="008E7B26"/>
    <w:rsid w:val="008F0685"/>
    <w:rsid w:val="008F1C4E"/>
    <w:rsid w:val="008F1EAB"/>
    <w:rsid w:val="008F286C"/>
    <w:rsid w:val="008F33DC"/>
    <w:rsid w:val="008F467C"/>
    <w:rsid w:val="008F477F"/>
    <w:rsid w:val="008F5C8A"/>
    <w:rsid w:val="008F617D"/>
    <w:rsid w:val="008F69A4"/>
    <w:rsid w:val="008F6EA1"/>
    <w:rsid w:val="008F6F54"/>
    <w:rsid w:val="0090073A"/>
    <w:rsid w:val="00901014"/>
    <w:rsid w:val="00902350"/>
    <w:rsid w:val="009025D9"/>
    <w:rsid w:val="0090262B"/>
    <w:rsid w:val="0090336B"/>
    <w:rsid w:val="00903B6D"/>
    <w:rsid w:val="00903C7C"/>
    <w:rsid w:val="00904825"/>
    <w:rsid w:val="00904C0F"/>
    <w:rsid w:val="00905154"/>
    <w:rsid w:val="009053AA"/>
    <w:rsid w:val="00906939"/>
    <w:rsid w:val="00907276"/>
    <w:rsid w:val="00910B7D"/>
    <w:rsid w:val="00910D5B"/>
    <w:rsid w:val="00911DFB"/>
    <w:rsid w:val="009132FD"/>
    <w:rsid w:val="009139D9"/>
    <w:rsid w:val="009143E0"/>
    <w:rsid w:val="00914838"/>
    <w:rsid w:val="00914AD8"/>
    <w:rsid w:val="00914EB6"/>
    <w:rsid w:val="00916079"/>
    <w:rsid w:val="009161DA"/>
    <w:rsid w:val="00916A49"/>
    <w:rsid w:val="00917A4E"/>
    <w:rsid w:val="00917BA9"/>
    <w:rsid w:val="00917CE9"/>
    <w:rsid w:val="00920514"/>
    <w:rsid w:val="0092075B"/>
    <w:rsid w:val="00920BF2"/>
    <w:rsid w:val="00920E26"/>
    <w:rsid w:val="00922010"/>
    <w:rsid w:val="0092208E"/>
    <w:rsid w:val="00922E5D"/>
    <w:rsid w:val="00923405"/>
    <w:rsid w:val="0092370D"/>
    <w:rsid w:val="009237DC"/>
    <w:rsid w:val="00925662"/>
    <w:rsid w:val="00925F7B"/>
    <w:rsid w:val="00926D54"/>
    <w:rsid w:val="009270B9"/>
    <w:rsid w:val="00930131"/>
    <w:rsid w:val="0093027D"/>
    <w:rsid w:val="00931897"/>
    <w:rsid w:val="00931BD9"/>
    <w:rsid w:val="00931C30"/>
    <w:rsid w:val="00932128"/>
    <w:rsid w:val="00934411"/>
    <w:rsid w:val="00935496"/>
    <w:rsid w:val="00936113"/>
    <w:rsid w:val="0093677A"/>
    <w:rsid w:val="009368F3"/>
    <w:rsid w:val="00936B29"/>
    <w:rsid w:val="00936EA9"/>
    <w:rsid w:val="00937419"/>
    <w:rsid w:val="009375EA"/>
    <w:rsid w:val="00937642"/>
    <w:rsid w:val="00937A89"/>
    <w:rsid w:val="00937B70"/>
    <w:rsid w:val="00941636"/>
    <w:rsid w:val="0094184C"/>
    <w:rsid w:val="00941E7D"/>
    <w:rsid w:val="009420D5"/>
    <w:rsid w:val="009429F0"/>
    <w:rsid w:val="0094317F"/>
    <w:rsid w:val="00943742"/>
    <w:rsid w:val="009445CC"/>
    <w:rsid w:val="009445FE"/>
    <w:rsid w:val="00945035"/>
    <w:rsid w:val="009453ED"/>
    <w:rsid w:val="00945C05"/>
    <w:rsid w:val="00945CE7"/>
    <w:rsid w:val="00946945"/>
    <w:rsid w:val="00947713"/>
    <w:rsid w:val="00947E85"/>
    <w:rsid w:val="00950DE7"/>
    <w:rsid w:val="009519A9"/>
    <w:rsid w:val="00951DFB"/>
    <w:rsid w:val="009527D4"/>
    <w:rsid w:val="00953920"/>
    <w:rsid w:val="00953D47"/>
    <w:rsid w:val="00956449"/>
    <w:rsid w:val="00956628"/>
    <w:rsid w:val="009566A2"/>
    <w:rsid w:val="0095681E"/>
    <w:rsid w:val="00957191"/>
    <w:rsid w:val="009572D4"/>
    <w:rsid w:val="0096057C"/>
    <w:rsid w:val="0096128E"/>
    <w:rsid w:val="00961921"/>
    <w:rsid w:val="009627D6"/>
    <w:rsid w:val="00962D27"/>
    <w:rsid w:val="009635CB"/>
    <w:rsid w:val="0096383B"/>
    <w:rsid w:val="00963EA7"/>
    <w:rsid w:val="0096430A"/>
    <w:rsid w:val="0096554B"/>
    <w:rsid w:val="0096584A"/>
    <w:rsid w:val="009706F8"/>
    <w:rsid w:val="00971333"/>
    <w:rsid w:val="009717EE"/>
    <w:rsid w:val="00971ED5"/>
    <w:rsid w:val="00971F08"/>
    <w:rsid w:val="00972150"/>
    <w:rsid w:val="00974009"/>
    <w:rsid w:val="00975F66"/>
    <w:rsid w:val="0097603D"/>
    <w:rsid w:val="0097615E"/>
    <w:rsid w:val="00976334"/>
    <w:rsid w:val="00976949"/>
    <w:rsid w:val="0097737A"/>
    <w:rsid w:val="00980477"/>
    <w:rsid w:val="0098157C"/>
    <w:rsid w:val="00981EDE"/>
    <w:rsid w:val="00981F0F"/>
    <w:rsid w:val="00984E3C"/>
    <w:rsid w:val="00985253"/>
    <w:rsid w:val="009853B3"/>
    <w:rsid w:val="009859EB"/>
    <w:rsid w:val="00985EC3"/>
    <w:rsid w:val="00987AE1"/>
    <w:rsid w:val="00990630"/>
    <w:rsid w:val="009908C9"/>
    <w:rsid w:val="00991171"/>
    <w:rsid w:val="00991761"/>
    <w:rsid w:val="009919B4"/>
    <w:rsid w:val="00993E74"/>
    <w:rsid w:val="00994DCA"/>
    <w:rsid w:val="00995018"/>
    <w:rsid w:val="009960EC"/>
    <w:rsid w:val="009964E4"/>
    <w:rsid w:val="009970DD"/>
    <w:rsid w:val="009A0FBA"/>
    <w:rsid w:val="009A132E"/>
    <w:rsid w:val="009A1355"/>
    <w:rsid w:val="009A1601"/>
    <w:rsid w:val="009A171E"/>
    <w:rsid w:val="009A3486"/>
    <w:rsid w:val="009A3BB6"/>
    <w:rsid w:val="009A462D"/>
    <w:rsid w:val="009A533D"/>
    <w:rsid w:val="009A59DC"/>
    <w:rsid w:val="009A5AF2"/>
    <w:rsid w:val="009A5CBA"/>
    <w:rsid w:val="009B1124"/>
    <w:rsid w:val="009B1D7F"/>
    <w:rsid w:val="009B1F30"/>
    <w:rsid w:val="009B31C0"/>
    <w:rsid w:val="009B3AC2"/>
    <w:rsid w:val="009B3E09"/>
    <w:rsid w:val="009B477E"/>
    <w:rsid w:val="009B4C53"/>
    <w:rsid w:val="009B4DF4"/>
    <w:rsid w:val="009B532E"/>
    <w:rsid w:val="009B564E"/>
    <w:rsid w:val="009B5B30"/>
    <w:rsid w:val="009B5DC2"/>
    <w:rsid w:val="009B7E87"/>
    <w:rsid w:val="009C0169"/>
    <w:rsid w:val="009C29A6"/>
    <w:rsid w:val="009C2C4C"/>
    <w:rsid w:val="009C36B6"/>
    <w:rsid w:val="009C403E"/>
    <w:rsid w:val="009C457A"/>
    <w:rsid w:val="009C4BD1"/>
    <w:rsid w:val="009C596A"/>
    <w:rsid w:val="009C6741"/>
    <w:rsid w:val="009D16C7"/>
    <w:rsid w:val="009D1897"/>
    <w:rsid w:val="009D34C2"/>
    <w:rsid w:val="009D489C"/>
    <w:rsid w:val="009D4E9F"/>
    <w:rsid w:val="009D4FF0"/>
    <w:rsid w:val="009D691D"/>
    <w:rsid w:val="009D703C"/>
    <w:rsid w:val="009D7107"/>
    <w:rsid w:val="009D718F"/>
    <w:rsid w:val="009E01D4"/>
    <w:rsid w:val="009E040F"/>
    <w:rsid w:val="009E068F"/>
    <w:rsid w:val="009E12F9"/>
    <w:rsid w:val="009E14E0"/>
    <w:rsid w:val="009E1E3F"/>
    <w:rsid w:val="009E2655"/>
    <w:rsid w:val="009E35DB"/>
    <w:rsid w:val="009E3D8B"/>
    <w:rsid w:val="009E47A3"/>
    <w:rsid w:val="009E4A43"/>
    <w:rsid w:val="009E5BBE"/>
    <w:rsid w:val="009E6CD0"/>
    <w:rsid w:val="009E730E"/>
    <w:rsid w:val="009E7757"/>
    <w:rsid w:val="009F08F3"/>
    <w:rsid w:val="009F1624"/>
    <w:rsid w:val="009F1764"/>
    <w:rsid w:val="009F2ADF"/>
    <w:rsid w:val="009F3315"/>
    <w:rsid w:val="009F344F"/>
    <w:rsid w:val="009F4704"/>
    <w:rsid w:val="009F50C8"/>
    <w:rsid w:val="009F5186"/>
    <w:rsid w:val="009F6D5B"/>
    <w:rsid w:val="009F783F"/>
    <w:rsid w:val="00A00D9E"/>
    <w:rsid w:val="00A021A8"/>
    <w:rsid w:val="00A031D8"/>
    <w:rsid w:val="00A048A8"/>
    <w:rsid w:val="00A04F49"/>
    <w:rsid w:val="00A065A7"/>
    <w:rsid w:val="00A065DF"/>
    <w:rsid w:val="00A10984"/>
    <w:rsid w:val="00A10E85"/>
    <w:rsid w:val="00A11EEC"/>
    <w:rsid w:val="00A125E0"/>
    <w:rsid w:val="00A13E54"/>
    <w:rsid w:val="00A1438F"/>
    <w:rsid w:val="00A17ADE"/>
    <w:rsid w:val="00A17F63"/>
    <w:rsid w:val="00A20271"/>
    <w:rsid w:val="00A208A4"/>
    <w:rsid w:val="00A2193B"/>
    <w:rsid w:val="00A219F6"/>
    <w:rsid w:val="00A2351A"/>
    <w:rsid w:val="00A23F98"/>
    <w:rsid w:val="00A24E87"/>
    <w:rsid w:val="00A264A9"/>
    <w:rsid w:val="00A26DCF"/>
    <w:rsid w:val="00A27785"/>
    <w:rsid w:val="00A30187"/>
    <w:rsid w:val="00A3448A"/>
    <w:rsid w:val="00A36297"/>
    <w:rsid w:val="00A37817"/>
    <w:rsid w:val="00A37991"/>
    <w:rsid w:val="00A37D9C"/>
    <w:rsid w:val="00A37E7E"/>
    <w:rsid w:val="00A40349"/>
    <w:rsid w:val="00A40AEA"/>
    <w:rsid w:val="00A41A69"/>
    <w:rsid w:val="00A41E2B"/>
    <w:rsid w:val="00A4278D"/>
    <w:rsid w:val="00A42FA7"/>
    <w:rsid w:val="00A43656"/>
    <w:rsid w:val="00A45184"/>
    <w:rsid w:val="00A454E6"/>
    <w:rsid w:val="00A45B74"/>
    <w:rsid w:val="00A46295"/>
    <w:rsid w:val="00A46FA0"/>
    <w:rsid w:val="00A47D74"/>
    <w:rsid w:val="00A502E0"/>
    <w:rsid w:val="00A51046"/>
    <w:rsid w:val="00A52E1D"/>
    <w:rsid w:val="00A540FE"/>
    <w:rsid w:val="00A56AE8"/>
    <w:rsid w:val="00A56DAF"/>
    <w:rsid w:val="00A57478"/>
    <w:rsid w:val="00A60AC5"/>
    <w:rsid w:val="00A61499"/>
    <w:rsid w:val="00A61760"/>
    <w:rsid w:val="00A62A77"/>
    <w:rsid w:val="00A63483"/>
    <w:rsid w:val="00A637D3"/>
    <w:rsid w:val="00A657D7"/>
    <w:rsid w:val="00A660AC"/>
    <w:rsid w:val="00A660FC"/>
    <w:rsid w:val="00A665A1"/>
    <w:rsid w:val="00A66C9D"/>
    <w:rsid w:val="00A67C0D"/>
    <w:rsid w:val="00A67E6C"/>
    <w:rsid w:val="00A714EB"/>
    <w:rsid w:val="00A71B99"/>
    <w:rsid w:val="00A7216B"/>
    <w:rsid w:val="00A7339A"/>
    <w:rsid w:val="00A739D0"/>
    <w:rsid w:val="00A73AAB"/>
    <w:rsid w:val="00A761D4"/>
    <w:rsid w:val="00A763B2"/>
    <w:rsid w:val="00A7669D"/>
    <w:rsid w:val="00A77662"/>
    <w:rsid w:val="00A77EC4"/>
    <w:rsid w:val="00A80293"/>
    <w:rsid w:val="00A8051F"/>
    <w:rsid w:val="00A8089D"/>
    <w:rsid w:val="00A80AB0"/>
    <w:rsid w:val="00A8291F"/>
    <w:rsid w:val="00A837AB"/>
    <w:rsid w:val="00A8446B"/>
    <w:rsid w:val="00A858A0"/>
    <w:rsid w:val="00A85E0E"/>
    <w:rsid w:val="00A8600B"/>
    <w:rsid w:val="00A9010A"/>
    <w:rsid w:val="00A909BF"/>
    <w:rsid w:val="00A90C30"/>
    <w:rsid w:val="00A923C2"/>
    <w:rsid w:val="00A92879"/>
    <w:rsid w:val="00A92D50"/>
    <w:rsid w:val="00A9442A"/>
    <w:rsid w:val="00A952B1"/>
    <w:rsid w:val="00A95CFF"/>
    <w:rsid w:val="00A979A0"/>
    <w:rsid w:val="00A97B03"/>
    <w:rsid w:val="00A97EB6"/>
    <w:rsid w:val="00AA016F"/>
    <w:rsid w:val="00AA11CE"/>
    <w:rsid w:val="00AA1454"/>
    <w:rsid w:val="00AA192D"/>
    <w:rsid w:val="00AA1ED6"/>
    <w:rsid w:val="00AA2CC3"/>
    <w:rsid w:val="00AA322B"/>
    <w:rsid w:val="00AA3867"/>
    <w:rsid w:val="00AA3C3A"/>
    <w:rsid w:val="00AA51D6"/>
    <w:rsid w:val="00AA5634"/>
    <w:rsid w:val="00AA6AC6"/>
    <w:rsid w:val="00AA6D76"/>
    <w:rsid w:val="00AA704C"/>
    <w:rsid w:val="00AA79AF"/>
    <w:rsid w:val="00AB012B"/>
    <w:rsid w:val="00AB0954"/>
    <w:rsid w:val="00AB0BC8"/>
    <w:rsid w:val="00AB0D9A"/>
    <w:rsid w:val="00AB11CA"/>
    <w:rsid w:val="00AB14D9"/>
    <w:rsid w:val="00AB1918"/>
    <w:rsid w:val="00AB1AC7"/>
    <w:rsid w:val="00AB2FFB"/>
    <w:rsid w:val="00AB3C68"/>
    <w:rsid w:val="00AB4A9D"/>
    <w:rsid w:val="00AB4AB8"/>
    <w:rsid w:val="00AB518A"/>
    <w:rsid w:val="00AB5557"/>
    <w:rsid w:val="00AB5B94"/>
    <w:rsid w:val="00AB60A0"/>
    <w:rsid w:val="00AB655E"/>
    <w:rsid w:val="00AB66B1"/>
    <w:rsid w:val="00AB6821"/>
    <w:rsid w:val="00AB6966"/>
    <w:rsid w:val="00AB72BD"/>
    <w:rsid w:val="00AC007F"/>
    <w:rsid w:val="00AC0DC3"/>
    <w:rsid w:val="00AC0E5E"/>
    <w:rsid w:val="00AC2ECD"/>
    <w:rsid w:val="00AC2F55"/>
    <w:rsid w:val="00AC3119"/>
    <w:rsid w:val="00AC49FB"/>
    <w:rsid w:val="00AC54A6"/>
    <w:rsid w:val="00AC5A10"/>
    <w:rsid w:val="00AC60BD"/>
    <w:rsid w:val="00AC7586"/>
    <w:rsid w:val="00AD0AA3"/>
    <w:rsid w:val="00AD2290"/>
    <w:rsid w:val="00AD2ED0"/>
    <w:rsid w:val="00AD3F41"/>
    <w:rsid w:val="00AD3F94"/>
    <w:rsid w:val="00AD40BB"/>
    <w:rsid w:val="00AD4A5A"/>
    <w:rsid w:val="00AD5D20"/>
    <w:rsid w:val="00AD6D17"/>
    <w:rsid w:val="00AE0F4C"/>
    <w:rsid w:val="00AE1157"/>
    <w:rsid w:val="00AE1AAD"/>
    <w:rsid w:val="00AE1AAF"/>
    <w:rsid w:val="00AE1F35"/>
    <w:rsid w:val="00AE264F"/>
    <w:rsid w:val="00AE27AC"/>
    <w:rsid w:val="00AE2E2F"/>
    <w:rsid w:val="00AE40E0"/>
    <w:rsid w:val="00AE4290"/>
    <w:rsid w:val="00AE4DBA"/>
    <w:rsid w:val="00AE4F07"/>
    <w:rsid w:val="00AE6BFC"/>
    <w:rsid w:val="00AE758D"/>
    <w:rsid w:val="00AE7EE4"/>
    <w:rsid w:val="00AF0047"/>
    <w:rsid w:val="00AF0FD8"/>
    <w:rsid w:val="00AF1B3D"/>
    <w:rsid w:val="00AF1C5D"/>
    <w:rsid w:val="00AF2189"/>
    <w:rsid w:val="00AF2B97"/>
    <w:rsid w:val="00AF2D76"/>
    <w:rsid w:val="00AF3EFD"/>
    <w:rsid w:val="00AF42D7"/>
    <w:rsid w:val="00AF4E80"/>
    <w:rsid w:val="00AF58A1"/>
    <w:rsid w:val="00AF62A5"/>
    <w:rsid w:val="00AF79F8"/>
    <w:rsid w:val="00B006FE"/>
    <w:rsid w:val="00B007CB"/>
    <w:rsid w:val="00B00FD9"/>
    <w:rsid w:val="00B02AA9"/>
    <w:rsid w:val="00B02FA3"/>
    <w:rsid w:val="00B03634"/>
    <w:rsid w:val="00B049D6"/>
    <w:rsid w:val="00B05084"/>
    <w:rsid w:val="00B062E9"/>
    <w:rsid w:val="00B06AFA"/>
    <w:rsid w:val="00B06C44"/>
    <w:rsid w:val="00B06CAF"/>
    <w:rsid w:val="00B06D85"/>
    <w:rsid w:val="00B113CD"/>
    <w:rsid w:val="00B12137"/>
    <w:rsid w:val="00B12619"/>
    <w:rsid w:val="00B12DC9"/>
    <w:rsid w:val="00B13BA0"/>
    <w:rsid w:val="00B143A3"/>
    <w:rsid w:val="00B154CB"/>
    <w:rsid w:val="00B157F9"/>
    <w:rsid w:val="00B16438"/>
    <w:rsid w:val="00B16511"/>
    <w:rsid w:val="00B16BDD"/>
    <w:rsid w:val="00B16EA7"/>
    <w:rsid w:val="00B17503"/>
    <w:rsid w:val="00B20256"/>
    <w:rsid w:val="00B20972"/>
    <w:rsid w:val="00B20D09"/>
    <w:rsid w:val="00B2252F"/>
    <w:rsid w:val="00B2274C"/>
    <w:rsid w:val="00B23317"/>
    <w:rsid w:val="00B23517"/>
    <w:rsid w:val="00B26024"/>
    <w:rsid w:val="00B2763F"/>
    <w:rsid w:val="00B278D5"/>
    <w:rsid w:val="00B27AAC"/>
    <w:rsid w:val="00B30929"/>
    <w:rsid w:val="00B31FE3"/>
    <w:rsid w:val="00B3208B"/>
    <w:rsid w:val="00B3485B"/>
    <w:rsid w:val="00B3486C"/>
    <w:rsid w:val="00B353FC"/>
    <w:rsid w:val="00B36291"/>
    <w:rsid w:val="00B366FF"/>
    <w:rsid w:val="00B372AA"/>
    <w:rsid w:val="00B37F04"/>
    <w:rsid w:val="00B40445"/>
    <w:rsid w:val="00B40825"/>
    <w:rsid w:val="00B409E0"/>
    <w:rsid w:val="00B40D00"/>
    <w:rsid w:val="00B41888"/>
    <w:rsid w:val="00B44B70"/>
    <w:rsid w:val="00B4570D"/>
    <w:rsid w:val="00B45A52"/>
    <w:rsid w:val="00B45DB5"/>
    <w:rsid w:val="00B46175"/>
    <w:rsid w:val="00B46BA5"/>
    <w:rsid w:val="00B47D14"/>
    <w:rsid w:val="00B50878"/>
    <w:rsid w:val="00B50C03"/>
    <w:rsid w:val="00B520FF"/>
    <w:rsid w:val="00B5243C"/>
    <w:rsid w:val="00B537A6"/>
    <w:rsid w:val="00B53AB5"/>
    <w:rsid w:val="00B53AED"/>
    <w:rsid w:val="00B542B1"/>
    <w:rsid w:val="00B548B7"/>
    <w:rsid w:val="00B54EF4"/>
    <w:rsid w:val="00B54FC1"/>
    <w:rsid w:val="00B55017"/>
    <w:rsid w:val="00B56470"/>
    <w:rsid w:val="00B61CB8"/>
    <w:rsid w:val="00B62392"/>
    <w:rsid w:val="00B632DB"/>
    <w:rsid w:val="00B63696"/>
    <w:rsid w:val="00B63A7C"/>
    <w:rsid w:val="00B63C36"/>
    <w:rsid w:val="00B65295"/>
    <w:rsid w:val="00B664C7"/>
    <w:rsid w:val="00B66CBF"/>
    <w:rsid w:val="00B66F01"/>
    <w:rsid w:val="00B67075"/>
    <w:rsid w:val="00B67B00"/>
    <w:rsid w:val="00B67B32"/>
    <w:rsid w:val="00B713D8"/>
    <w:rsid w:val="00B73496"/>
    <w:rsid w:val="00B739F6"/>
    <w:rsid w:val="00B73B5A"/>
    <w:rsid w:val="00B771EF"/>
    <w:rsid w:val="00B77284"/>
    <w:rsid w:val="00B8010A"/>
    <w:rsid w:val="00B8153A"/>
    <w:rsid w:val="00B81A6C"/>
    <w:rsid w:val="00B83EEC"/>
    <w:rsid w:val="00B85154"/>
    <w:rsid w:val="00B85DE5"/>
    <w:rsid w:val="00B86402"/>
    <w:rsid w:val="00B87919"/>
    <w:rsid w:val="00B87F15"/>
    <w:rsid w:val="00B90F73"/>
    <w:rsid w:val="00B91A04"/>
    <w:rsid w:val="00B92831"/>
    <w:rsid w:val="00B93B12"/>
    <w:rsid w:val="00B93B59"/>
    <w:rsid w:val="00B9406A"/>
    <w:rsid w:val="00B94C6C"/>
    <w:rsid w:val="00B96035"/>
    <w:rsid w:val="00B960C4"/>
    <w:rsid w:val="00BA09AF"/>
    <w:rsid w:val="00BA2280"/>
    <w:rsid w:val="00BA2311"/>
    <w:rsid w:val="00BA2A08"/>
    <w:rsid w:val="00BA3159"/>
    <w:rsid w:val="00BA35DF"/>
    <w:rsid w:val="00BA3AF3"/>
    <w:rsid w:val="00BA48B0"/>
    <w:rsid w:val="00BA56D2"/>
    <w:rsid w:val="00BA6447"/>
    <w:rsid w:val="00BA6597"/>
    <w:rsid w:val="00BA66AA"/>
    <w:rsid w:val="00BA76E0"/>
    <w:rsid w:val="00BB14BE"/>
    <w:rsid w:val="00BB2A25"/>
    <w:rsid w:val="00BB2B06"/>
    <w:rsid w:val="00BB2E3D"/>
    <w:rsid w:val="00BB2E97"/>
    <w:rsid w:val="00BB355A"/>
    <w:rsid w:val="00BB3711"/>
    <w:rsid w:val="00BB3B49"/>
    <w:rsid w:val="00BB51E9"/>
    <w:rsid w:val="00BB5314"/>
    <w:rsid w:val="00BB5506"/>
    <w:rsid w:val="00BB67CD"/>
    <w:rsid w:val="00BB69A7"/>
    <w:rsid w:val="00BB6D2B"/>
    <w:rsid w:val="00BB72B1"/>
    <w:rsid w:val="00BB7684"/>
    <w:rsid w:val="00BB7797"/>
    <w:rsid w:val="00BC05CA"/>
    <w:rsid w:val="00BC0FDC"/>
    <w:rsid w:val="00BC1305"/>
    <w:rsid w:val="00BC1D06"/>
    <w:rsid w:val="00BC2528"/>
    <w:rsid w:val="00BC2777"/>
    <w:rsid w:val="00BC3053"/>
    <w:rsid w:val="00BC372B"/>
    <w:rsid w:val="00BC413E"/>
    <w:rsid w:val="00BC43D9"/>
    <w:rsid w:val="00BC4D2E"/>
    <w:rsid w:val="00BC5751"/>
    <w:rsid w:val="00BC5C99"/>
    <w:rsid w:val="00BC6444"/>
    <w:rsid w:val="00BC7A99"/>
    <w:rsid w:val="00BD0151"/>
    <w:rsid w:val="00BD3427"/>
    <w:rsid w:val="00BD43B5"/>
    <w:rsid w:val="00BD48AC"/>
    <w:rsid w:val="00BD48F7"/>
    <w:rsid w:val="00BD5672"/>
    <w:rsid w:val="00BD5F1A"/>
    <w:rsid w:val="00BD698F"/>
    <w:rsid w:val="00BD6A07"/>
    <w:rsid w:val="00BD6C8C"/>
    <w:rsid w:val="00BE01DD"/>
    <w:rsid w:val="00BE038D"/>
    <w:rsid w:val="00BE1234"/>
    <w:rsid w:val="00BE2561"/>
    <w:rsid w:val="00BE2FA6"/>
    <w:rsid w:val="00BE333F"/>
    <w:rsid w:val="00BE5C0F"/>
    <w:rsid w:val="00BE611F"/>
    <w:rsid w:val="00BE7406"/>
    <w:rsid w:val="00BE7603"/>
    <w:rsid w:val="00BF024E"/>
    <w:rsid w:val="00BF1318"/>
    <w:rsid w:val="00BF18B7"/>
    <w:rsid w:val="00BF18E5"/>
    <w:rsid w:val="00BF1E04"/>
    <w:rsid w:val="00BF2743"/>
    <w:rsid w:val="00BF3279"/>
    <w:rsid w:val="00BF40B0"/>
    <w:rsid w:val="00BF55C5"/>
    <w:rsid w:val="00BF5BFB"/>
    <w:rsid w:val="00BF6618"/>
    <w:rsid w:val="00BF68ED"/>
    <w:rsid w:val="00BF6940"/>
    <w:rsid w:val="00BF74C7"/>
    <w:rsid w:val="00C005D7"/>
    <w:rsid w:val="00C00679"/>
    <w:rsid w:val="00C011A8"/>
    <w:rsid w:val="00C011F0"/>
    <w:rsid w:val="00C01365"/>
    <w:rsid w:val="00C015F1"/>
    <w:rsid w:val="00C01F33"/>
    <w:rsid w:val="00C02CC6"/>
    <w:rsid w:val="00C040F7"/>
    <w:rsid w:val="00C04161"/>
    <w:rsid w:val="00C044AB"/>
    <w:rsid w:val="00C0553E"/>
    <w:rsid w:val="00C05706"/>
    <w:rsid w:val="00C05779"/>
    <w:rsid w:val="00C07228"/>
    <w:rsid w:val="00C07377"/>
    <w:rsid w:val="00C07F6D"/>
    <w:rsid w:val="00C10326"/>
    <w:rsid w:val="00C10478"/>
    <w:rsid w:val="00C11271"/>
    <w:rsid w:val="00C114F3"/>
    <w:rsid w:val="00C11F5E"/>
    <w:rsid w:val="00C12084"/>
    <w:rsid w:val="00C12107"/>
    <w:rsid w:val="00C12B51"/>
    <w:rsid w:val="00C13AE5"/>
    <w:rsid w:val="00C13B07"/>
    <w:rsid w:val="00C13C1D"/>
    <w:rsid w:val="00C14D4B"/>
    <w:rsid w:val="00C15094"/>
    <w:rsid w:val="00C154BB"/>
    <w:rsid w:val="00C1579A"/>
    <w:rsid w:val="00C15CAA"/>
    <w:rsid w:val="00C16469"/>
    <w:rsid w:val="00C16557"/>
    <w:rsid w:val="00C17CE9"/>
    <w:rsid w:val="00C211BB"/>
    <w:rsid w:val="00C21245"/>
    <w:rsid w:val="00C22443"/>
    <w:rsid w:val="00C2248E"/>
    <w:rsid w:val="00C232EE"/>
    <w:rsid w:val="00C236F8"/>
    <w:rsid w:val="00C24A31"/>
    <w:rsid w:val="00C25116"/>
    <w:rsid w:val="00C25A97"/>
    <w:rsid w:val="00C25C64"/>
    <w:rsid w:val="00C25D59"/>
    <w:rsid w:val="00C26B86"/>
    <w:rsid w:val="00C279B5"/>
    <w:rsid w:val="00C27C45"/>
    <w:rsid w:val="00C302D3"/>
    <w:rsid w:val="00C30BB1"/>
    <w:rsid w:val="00C30D85"/>
    <w:rsid w:val="00C31EC8"/>
    <w:rsid w:val="00C3276D"/>
    <w:rsid w:val="00C32A61"/>
    <w:rsid w:val="00C33E2C"/>
    <w:rsid w:val="00C343D0"/>
    <w:rsid w:val="00C34F57"/>
    <w:rsid w:val="00C35248"/>
    <w:rsid w:val="00C35BE4"/>
    <w:rsid w:val="00C3719D"/>
    <w:rsid w:val="00C373DC"/>
    <w:rsid w:val="00C37CB2"/>
    <w:rsid w:val="00C40616"/>
    <w:rsid w:val="00C406AC"/>
    <w:rsid w:val="00C41266"/>
    <w:rsid w:val="00C42B8C"/>
    <w:rsid w:val="00C43D9D"/>
    <w:rsid w:val="00C473A5"/>
    <w:rsid w:val="00C47C13"/>
    <w:rsid w:val="00C5081D"/>
    <w:rsid w:val="00C510F4"/>
    <w:rsid w:val="00C51C2A"/>
    <w:rsid w:val="00C51D28"/>
    <w:rsid w:val="00C51D80"/>
    <w:rsid w:val="00C53486"/>
    <w:rsid w:val="00C53C09"/>
    <w:rsid w:val="00C54080"/>
    <w:rsid w:val="00C54995"/>
    <w:rsid w:val="00C54D41"/>
    <w:rsid w:val="00C56205"/>
    <w:rsid w:val="00C56BA0"/>
    <w:rsid w:val="00C602C8"/>
    <w:rsid w:val="00C60783"/>
    <w:rsid w:val="00C60787"/>
    <w:rsid w:val="00C60B5B"/>
    <w:rsid w:val="00C627C7"/>
    <w:rsid w:val="00C64672"/>
    <w:rsid w:val="00C64803"/>
    <w:rsid w:val="00C64E91"/>
    <w:rsid w:val="00C675C1"/>
    <w:rsid w:val="00C676A8"/>
    <w:rsid w:val="00C67C9C"/>
    <w:rsid w:val="00C67CE7"/>
    <w:rsid w:val="00C67DC3"/>
    <w:rsid w:val="00C70157"/>
    <w:rsid w:val="00C7027A"/>
    <w:rsid w:val="00C70697"/>
    <w:rsid w:val="00C72093"/>
    <w:rsid w:val="00C72EF4"/>
    <w:rsid w:val="00C73263"/>
    <w:rsid w:val="00C744FE"/>
    <w:rsid w:val="00C74BC3"/>
    <w:rsid w:val="00C75D2F"/>
    <w:rsid w:val="00C767BE"/>
    <w:rsid w:val="00C76E3C"/>
    <w:rsid w:val="00C7735C"/>
    <w:rsid w:val="00C77C01"/>
    <w:rsid w:val="00C801F5"/>
    <w:rsid w:val="00C81568"/>
    <w:rsid w:val="00C8195B"/>
    <w:rsid w:val="00C8329B"/>
    <w:rsid w:val="00C85419"/>
    <w:rsid w:val="00C85D3B"/>
    <w:rsid w:val="00C85FE7"/>
    <w:rsid w:val="00C867C9"/>
    <w:rsid w:val="00C876A6"/>
    <w:rsid w:val="00C9027A"/>
    <w:rsid w:val="00C9068E"/>
    <w:rsid w:val="00C90C3D"/>
    <w:rsid w:val="00C93530"/>
    <w:rsid w:val="00C93814"/>
    <w:rsid w:val="00C93C4B"/>
    <w:rsid w:val="00C93FC8"/>
    <w:rsid w:val="00C944AB"/>
    <w:rsid w:val="00C94B76"/>
    <w:rsid w:val="00C9586F"/>
    <w:rsid w:val="00C95B40"/>
    <w:rsid w:val="00C96858"/>
    <w:rsid w:val="00C978DC"/>
    <w:rsid w:val="00CA0CF7"/>
    <w:rsid w:val="00CA0F13"/>
    <w:rsid w:val="00CA1723"/>
    <w:rsid w:val="00CA1ED8"/>
    <w:rsid w:val="00CA6096"/>
    <w:rsid w:val="00CA7917"/>
    <w:rsid w:val="00CB02A8"/>
    <w:rsid w:val="00CB1055"/>
    <w:rsid w:val="00CB1F63"/>
    <w:rsid w:val="00CB5C6C"/>
    <w:rsid w:val="00CB5CC3"/>
    <w:rsid w:val="00CB6CF1"/>
    <w:rsid w:val="00CB7170"/>
    <w:rsid w:val="00CC040E"/>
    <w:rsid w:val="00CC096E"/>
    <w:rsid w:val="00CC111F"/>
    <w:rsid w:val="00CC1178"/>
    <w:rsid w:val="00CC1D61"/>
    <w:rsid w:val="00CC2011"/>
    <w:rsid w:val="00CC3EA0"/>
    <w:rsid w:val="00CC49E0"/>
    <w:rsid w:val="00CC4E64"/>
    <w:rsid w:val="00CC5365"/>
    <w:rsid w:val="00CC7B45"/>
    <w:rsid w:val="00CD1188"/>
    <w:rsid w:val="00CD2725"/>
    <w:rsid w:val="00CD2ED1"/>
    <w:rsid w:val="00CD2F10"/>
    <w:rsid w:val="00CD337B"/>
    <w:rsid w:val="00CD3466"/>
    <w:rsid w:val="00CD430F"/>
    <w:rsid w:val="00CD4B79"/>
    <w:rsid w:val="00CD53B9"/>
    <w:rsid w:val="00CD54D3"/>
    <w:rsid w:val="00CD595B"/>
    <w:rsid w:val="00CD5D47"/>
    <w:rsid w:val="00CD5D49"/>
    <w:rsid w:val="00CD683B"/>
    <w:rsid w:val="00CE0424"/>
    <w:rsid w:val="00CE21CA"/>
    <w:rsid w:val="00CE294D"/>
    <w:rsid w:val="00CE313C"/>
    <w:rsid w:val="00CE31BF"/>
    <w:rsid w:val="00CE3C8B"/>
    <w:rsid w:val="00CE41FF"/>
    <w:rsid w:val="00CE43AF"/>
    <w:rsid w:val="00CE5FF0"/>
    <w:rsid w:val="00CE7561"/>
    <w:rsid w:val="00CE7992"/>
    <w:rsid w:val="00CE7F74"/>
    <w:rsid w:val="00CF0D2E"/>
    <w:rsid w:val="00CF1354"/>
    <w:rsid w:val="00CF1D9F"/>
    <w:rsid w:val="00CF2140"/>
    <w:rsid w:val="00CF22E1"/>
    <w:rsid w:val="00CF2498"/>
    <w:rsid w:val="00CF270A"/>
    <w:rsid w:val="00CF3B1F"/>
    <w:rsid w:val="00CF3BF6"/>
    <w:rsid w:val="00CF625B"/>
    <w:rsid w:val="00CF687E"/>
    <w:rsid w:val="00CF709D"/>
    <w:rsid w:val="00CF7714"/>
    <w:rsid w:val="00D001BD"/>
    <w:rsid w:val="00D028CD"/>
    <w:rsid w:val="00D0349B"/>
    <w:rsid w:val="00D03F63"/>
    <w:rsid w:val="00D05474"/>
    <w:rsid w:val="00D05E1F"/>
    <w:rsid w:val="00D06C24"/>
    <w:rsid w:val="00D06F4E"/>
    <w:rsid w:val="00D10249"/>
    <w:rsid w:val="00D114CC"/>
    <w:rsid w:val="00D114E6"/>
    <w:rsid w:val="00D115C3"/>
    <w:rsid w:val="00D11897"/>
    <w:rsid w:val="00D11AAF"/>
    <w:rsid w:val="00D1230E"/>
    <w:rsid w:val="00D13135"/>
    <w:rsid w:val="00D13D36"/>
    <w:rsid w:val="00D13E4E"/>
    <w:rsid w:val="00D14211"/>
    <w:rsid w:val="00D147ED"/>
    <w:rsid w:val="00D16334"/>
    <w:rsid w:val="00D200F6"/>
    <w:rsid w:val="00D20FF4"/>
    <w:rsid w:val="00D214D9"/>
    <w:rsid w:val="00D2167C"/>
    <w:rsid w:val="00D21FDA"/>
    <w:rsid w:val="00D233C7"/>
    <w:rsid w:val="00D239A7"/>
    <w:rsid w:val="00D23F47"/>
    <w:rsid w:val="00D249FA"/>
    <w:rsid w:val="00D24A66"/>
    <w:rsid w:val="00D263A8"/>
    <w:rsid w:val="00D27A37"/>
    <w:rsid w:val="00D305AB"/>
    <w:rsid w:val="00D31200"/>
    <w:rsid w:val="00D31839"/>
    <w:rsid w:val="00D318AF"/>
    <w:rsid w:val="00D32406"/>
    <w:rsid w:val="00D326E7"/>
    <w:rsid w:val="00D33213"/>
    <w:rsid w:val="00D339AF"/>
    <w:rsid w:val="00D35BD5"/>
    <w:rsid w:val="00D36747"/>
    <w:rsid w:val="00D367B4"/>
    <w:rsid w:val="00D36871"/>
    <w:rsid w:val="00D36E71"/>
    <w:rsid w:val="00D3722C"/>
    <w:rsid w:val="00D378D8"/>
    <w:rsid w:val="00D37D87"/>
    <w:rsid w:val="00D40968"/>
    <w:rsid w:val="00D40A9E"/>
    <w:rsid w:val="00D40B33"/>
    <w:rsid w:val="00D40E61"/>
    <w:rsid w:val="00D4119A"/>
    <w:rsid w:val="00D41EB2"/>
    <w:rsid w:val="00D4268C"/>
    <w:rsid w:val="00D42F08"/>
    <w:rsid w:val="00D4318F"/>
    <w:rsid w:val="00D438BF"/>
    <w:rsid w:val="00D43C28"/>
    <w:rsid w:val="00D440F8"/>
    <w:rsid w:val="00D44321"/>
    <w:rsid w:val="00D44E6A"/>
    <w:rsid w:val="00D45D87"/>
    <w:rsid w:val="00D45EF4"/>
    <w:rsid w:val="00D46B50"/>
    <w:rsid w:val="00D47F55"/>
    <w:rsid w:val="00D511B1"/>
    <w:rsid w:val="00D534DF"/>
    <w:rsid w:val="00D546FF"/>
    <w:rsid w:val="00D54ACA"/>
    <w:rsid w:val="00D54B67"/>
    <w:rsid w:val="00D557DD"/>
    <w:rsid w:val="00D55AD5"/>
    <w:rsid w:val="00D55C31"/>
    <w:rsid w:val="00D55E99"/>
    <w:rsid w:val="00D56406"/>
    <w:rsid w:val="00D5677E"/>
    <w:rsid w:val="00D572D8"/>
    <w:rsid w:val="00D576CA"/>
    <w:rsid w:val="00D60405"/>
    <w:rsid w:val="00D605BC"/>
    <w:rsid w:val="00D6088B"/>
    <w:rsid w:val="00D60B81"/>
    <w:rsid w:val="00D61AF5"/>
    <w:rsid w:val="00D62476"/>
    <w:rsid w:val="00D6286C"/>
    <w:rsid w:val="00D628B8"/>
    <w:rsid w:val="00D62D94"/>
    <w:rsid w:val="00D63809"/>
    <w:rsid w:val="00D63EB1"/>
    <w:rsid w:val="00D65075"/>
    <w:rsid w:val="00D652B5"/>
    <w:rsid w:val="00D659C3"/>
    <w:rsid w:val="00D65BB5"/>
    <w:rsid w:val="00D66155"/>
    <w:rsid w:val="00D67336"/>
    <w:rsid w:val="00D67D41"/>
    <w:rsid w:val="00D70844"/>
    <w:rsid w:val="00D708B0"/>
    <w:rsid w:val="00D709FC"/>
    <w:rsid w:val="00D71BFE"/>
    <w:rsid w:val="00D72608"/>
    <w:rsid w:val="00D7349F"/>
    <w:rsid w:val="00D734A7"/>
    <w:rsid w:val="00D736D7"/>
    <w:rsid w:val="00D73945"/>
    <w:rsid w:val="00D74880"/>
    <w:rsid w:val="00D75492"/>
    <w:rsid w:val="00D75A1F"/>
    <w:rsid w:val="00D76A2B"/>
    <w:rsid w:val="00D771B3"/>
    <w:rsid w:val="00D771C6"/>
    <w:rsid w:val="00D778B2"/>
    <w:rsid w:val="00D77B1D"/>
    <w:rsid w:val="00D8021F"/>
    <w:rsid w:val="00D802F9"/>
    <w:rsid w:val="00D80383"/>
    <w:rsid w:val="00D82098"/>
    <w:rsid w:val="00D823C6"/>
    <w:rsid w:val="00D827AD"/>
    <w:rsid w:val="00D82BA8"/>
    <w:rsid w:val="00D8327F"/>
    <w:rsid w:val="00D83936"/>
    <w:rsid w:val="00D83A6A"/>
    <w:rsid w:val="00D8412F"/>
    <w:rsid w:val="00D853F2"/>
    <w:rsid w:val="00D86305"/>
    <w:rsid w:val="00D86CA3"/>
    <w:rsid w:val="00D871CE"/>
    <w:rsid w:val="00D905CA"/>
    <w:rsid w:val="00D912EF"/>
    <w:rsid w:val="00D9196D"/>
    <w:rsid w:val="00D92982"/>
    <w:rsid w:val="00D96D9B"/>
    <w:rsid w:val="00DA1E03"/>
    <w:rsid w:val="00DA2912"/>
    <w:rsid w:val="00DA305E"/>
    <w:rsid w:val="00DA32C3"/>
    <w:rsid w:val="00DA358C"/>
    <w:rsid w:val="00DA4CAF"/>
    <w:rsid w:val="00DA5417"/>
    <w:rsid w:val="00DA56E8"/>
    <w:rsid w:val="00DA73AC"/>
    <w:rsid w:val="00DB061F"/>
    <w:rsid w:val="00DB0A9F"/>
    <w:rsid w:val="00DB0B7F"/>
    <w:rsid w:val="00DB0E13"/>
    <w:rsid w:val="00DB2138"/>
    <w:rsid w:val="00DB2285"/>
    <w:rsid w:val="00DB24C8"/>
    <w:rsid w:val="00DB356B"/>
    <w:rsid w:val="00DB377D"/>
    <w:rsid w:val="00DB4F08"/>
    <w:rsid w:val="00DB5223"/>
    <w:rsid w:val="00DB6364"/>
    <w:rsid w:val="00DB7BDC"/>
    <w:rsid w:val="00DC2D36"/>
    <w:rsid w:val="00DC346E"/>
    <w:rsid w:val="00DC53EF"/>
    <w:rsid w:val="00DC5F02"/>
    <w:rsid w:val="00DC71B0"/>
    <w:rsid w:val="00DC73CB"/>
    <w:rsid w:val="00DC759C"/>
    <w:rsid w:val="00DD0748"/>
    <w:rsid w:val="00DD2265"/>
    <w:rsid w:val="00DD2C3C"/>
    <w:rsid w:val="00DD36C0"/>
    <w:rsid w:val="00DD39F0"/>
    <w:rsid w:val="00DD4398"/>
    <w:rsid w:val="00DD46B5"/>
    <w:rsid w:val="00DD476B"/>
    <w:rsid w:val="00DD4E7C"/>
    <w:rsid w:val="00DD4FE9"/>
    <w:rsid w:val="00DD51B2"/>
    <w:rsid w:val="00DD5815"/>
    <w:rsid w:val="00DD5A64"/>
    <w:rsid w:val="00DD61F8"/>
    <w:rsid w:val="00DD7107"/>
    <w:rsid w:val="00DD7C03"/>
    <w:rsid w:val="00DE15B0"/>
    <w:rsid w:val="00DE251E"/>
    <w:rsid w:val="00DE3047"/>
    <w:rsid w:val="00DE424B"/>
    <w:rsid w:val="00DE4EA2"/>
    <w:rsid w:val="00DE5605"/>
    <w:rsid w:val="00DE5608"/>
    <w:rsid w:val="00DE58D0"/>
    <w:rsid w:val="00DE5E1A"/>
    <w:rsid w:val="00DE654F"/>
    <w:rsid w:val="00DE6916"/>
    <w:rsid w:val="00DF0207"/>
    <w:rsid w:val="00DF0B6E"/>
    <w:rsid w:val="00DF15E0"/>
    <w:rsid w:val="00DF20AD"/>
    <w:rsid w:val="00DF37A0"/>
    <w:rsid w:val="00DF5BC1"/>
    <w:rsid w:val="00DF6609"/>
    <w:rsid w:val="00DF672D"/>
    <w:rsid w:val="00DF7F73"/>
    <w:rsid w:val="00E01631"/>
    <w:rsid w:val="00E017A7"/>
    <w:rsid w:val="00E030A0"/>
    <w:rsid w:val="00E0468E"/>
    <w:rsid w:val="00E04CC6"/>
    <w:rsid w:val="00E06503"/>
    <w:rsid w:val="00E06847"/>
    <w:rsid w:val="00E07354"/>
    <w:rsid w:val="00E110E7"/>
    <w:rsid w:val="00E116AB"/>
    <w:rsid w:val="00E118E1"/>
    <w:rsid w:val="00E11B20"/>
    <w:rsid w:val="00E1208B"/>
    <w:rsid w:val="00E129B6"/>
    <w:rsid w:val="00E12A26"/>
    <w:rsid w:val="00E155D2"/>
    <w:rsid w:val="00E155FB"/>
    <w:rsid w:val="00E15989"/>
    <w:rsid w:val="00E1620E"/>
    <w:rsid w:val="00E16484"/>
    <w:rsid w:val="00E17FA2"/>
    <w:rsid w:val="00E211B8"/>
    <w:rsid w:val="00E22330"/>
    <w:rsid w:val="00E24B73"/>
    <w:rsid w:val="00E27610"/>
    <w:rsid w:val="00E30B5A"/>
    <w:rsid w:val="00E3123D"/>
    <w:rsid w:val="00E31461"/>
    <w:rsid w:val="00E31D43"/>
    <w:rsid w:val="00E32608"/>
    <w:rsid w:val="00E326D5"/>
    <w:rsid w:val="00E32E30"/>
    <w:rsid w:val="00E32F2E"/>
    <w:rsid w:val="00E33975"/>
    <w:rsid w:val="00E34188"/>
    <w:rsid w:val="00E34B6E"/>
    <w:rsid w:val="00E35222"/>
    <w:rsid w:val="00E35559"/>
    <w:rsid w:val="00E35E2E"/>
    <w:rsid w:val="00E36499"/>
    <w:rsid w:val="00E3723A"/>
    <w:rsid w:val="00E37860"/>
    <w:rsid w:val="00E37AF0"/>
    <w:rsid w:val="00E405CE"/>
    <w:rsid w:val="00E40640"/>
    <w:rsid w:val="00E446F1"/>
    <w:rsid w:val="00E44871"/>
    <w:rsid w:val="00E46886"/>
    <w:rsid w:val="00E47AEF"/>
    <w:rsid w:val="00E50810"/>
    <w:rsid w:val="00E5316E"/>
    <w:rsid w:val="00E536B8"/>
    <w:rsid w:val="00E53B75"/>
    <w:rsid w:val="00E53D13"/>
    <w:rsid w:val="00E54A10"/>
    <w:rsid w:val="00E54E3B"/>
    <w:rsid w:val="00E567F1"/>
    <w:rsid w:val="00E57565"/>
    <w:rsid w:val="00E57FB5"/>
    <w:rsid w:val="00E600EA"/>
    <w:rsid w:val="00E608E6"/>
    <w:rsid w:val="00E60981"/>
    <w:rsid w:val="00E619EF"/>
    <w:rsid w:val="00E623BB"/>
    <w:rsid w:val="00E62E1B"/>
    <w:rsid w:val="00E63673"/>
    <w:rsid w:val="00E63838"/>
    <w:rsid w:val="00E63A32"/>
    <w:rsid w:val="00E64434"/>
    <w:rsid w:val="00E65AA6"/>
    <w:rsid w:val="00E66171"/>
    <w:rsid w:val="00E66C03"/>
    <w:rsid w:val="00E6742E"/>
    <w:rsid w:val="00E6758D"/>
    <w:rsid w:val="00E67C51"/>
    <w:rsid w:val="00E70053"/>
    <w:rsid w:val="00E70A30"/>
    <w:rsid w:val="00E72554"/>
    <w:rsid w:val="00E729A5"/>
    <w:rsid w:val="00E72EFC"/>
    <w:rsid w:val="00E74669"/>
    <w:rsid w:val="00E7557E"/>
    <w:rsid w:val="00E758EC"/>
    <w:rsid w:val="00E764FA"/>
    <w:rsid w:val="00E7672F"/>
    <w:rsid w:val="00E76DE1"/>
    <w:rsid w:val="00E80E1E"/>
    <w:rsid w:val="00E8129B"/>
    <w:rsid w:val="00E814DD"/>
    <w:rsid w:val="00E8234C"/>
    <w:rsid w:val="00E82584"/>
    <w:rsid w:val="00E83956"/>
    <w:rsid w:val="00E83AA9"/>
    <w:rsid w:val="00E83BF8"/>
    <w:rsid w:val="00E85928"/>
    <w:rsid w:val="00E8648A"/>
    <w:rsid w:val="00E86E4D"/>
    <w:rsid w:val="00E87072"/>
    <w:rsid w:val="00E87822"/>
    <w:rsid w:val="00E90395"/>
    <w:rsid w:val="00E90E49"/>
    <w:rsid w:val="00E917F9"/>
    <w:rsid w:val="00E92609"/>
    <w:rsid w:val="00E9291C"/>
    <w:rsid w:val="00E92B46"/>
    <w:rsid w:val="00E93FFE"/>
    <w:rsid w:val="00E94AA1"/>
    <w:rsid w:val="00E94DD0"/>
    <w:rsid w:val="00E94F8A"/>
    <w:rsid w:val="00E953E8"/>
    <w:rsid w:val="00E96CF7"/>
    <w:rsid w:val="00EA16CE"/>
    <w:rsid w:val="00EA1B8B"/>
    <w:rsid w:val="00EA2386"/>
    <w:rsid w:val="00EA5A87"/>
    <w:rsid w:val="00EA6044"/>
    <w:rsid w:val="00EA7A41"/>
    <w:rsid w:val="00EB0171"/>
    <w:rsid w:val="00EB05C5"/>
    <w:rsid w:val="00EB06E5"/>
    <w:rsid w:val="00EB077B"/>
    <w:rsid w:val="00EB1C8E"/>
    <w:rsid w:val="00EB31D6"/>
    <w:rsid w:val="00EB4100"/>
    <w:rsid w:val="00EB4B4B"/>
    <w:rsid w:val="00EB4EA2"/>
    <w:rsid w:val="00EB5DE5"/>
    <w:rsid w:val="00EB66E9"/>
    <w:rsid w:val="00EC034A"/>
    <w:rsid w:val="00EC039F"/>
    <w:rsid w:val="00EC12D3"/>
    <w:rsid w:val="00EC1611"/>
    <w:rsid w:val="00EC19EF"/>
    <w:rsid w:val="00EC19F9"/>
    <w:rsid w:val="00EC24D5"/>
    <w:rsid w:val="00EC27C6"/>
    <w:rsid w:val="00EC2886"/>
    <w:rsid w:val="00EC2AC8"/>
    <w:rsid w:val="00EC2F86"/>
    <w:rsid w:val="00EC3FCB"/>
    <w:rsid w:val="00EC4207"/>
    <w:rsid w:val="00EC500E"/>
    <w:rsid w:val="00EC5035"/>
    <w:rsid w:val="00EC5653"/>
    <w:rsid w:val="00EC5F72"/>
    <w:rsid w:val="00EC71CE"/>
    <w:rsid w:val="00EC7605"/>
    <w:rsid w:val="00EC7B3D"/>
    <w:rsid w:val="00ED0ADD"/>
    <w:rsid w:val="00ED1006"/>
    <w:rsid w:val="00ED1A74"/>
    <w:rsid w:val="00ED4EDB"/>
    <w:rsid w:val="00ED55D3"/>
    <w:rsid w:val="00ED6327"/>
    <w:rsid w:val="00ED68E3"/>
    <w:rsid w:val="00ED6B17"/>
    <w:rsid w:val="00ED7222"/>
    <w:rsid w:val="00EE0DB7"/>
    <w:rsid w:val="00EE220A"/>
    <w:rsid w:val="00EE35E9"/>
    <w:rsid w:val="00EE3F8F"/>
    <w:rsid w:val="00EE4308"/>
    <w:rsid w:val="00EE59A7"/>
    <w:rsid w:val="00EE73B8"/>
    <w:rsid w:val="00EE7486"/>
    <w:rsid w:val="00EE7492"/>
    <w:rsid w:val="00EE7BB3"/>
    <w:rsid w:val="00EF18FE"/>
    <w:rsid w:val="00EF3610"/>
    <w:rsid w:val="00EF4D76"/>
    <w:rsid w:val="00EF5787"/>
    <w:rsid w:val="00EF59BC"/>
    <w:rsid w:val="00EF60D0"/>
    <w:rsid w:val="00EF7F51"/>
    <w:rsid w:val="00F0078A"/>
    <w:rsid w:val="00F02731"/>
    <w:rsid w:val="00F02BA8"/>
    <w:rsid w:val="00F0528D"/>
    <w:rsid w:val="00F06327"/>
    <w:rsid w:val="00F0694E"/>
    <w:rsid w:val="00F06C67"/>
    <w:rsid w:val="00F06DFD"/>
    <w:rsid w:val="00F071D1"/>
    <w:rsid w:val="00F072E6"/>
    <w:rsid w:val="00F07533"/>
    <w:rsid w:val="00F07AAD"/>
    <w:rsid w:val="00F10629"/>
    <w:rsid w:val="00F12411"/>
    <w:rsid w:val="00F12D42"/>
    <w:rsid w:val="00F15D97"/>
    <w:rsid w:val="00F15FA5"/>
    <w:rsid w:val="00F17693"/>
    <w:rsid w:val="00F17E99"/>
    <w:rsid w:val="00F209B7"/>
    <w:rsid w:val="00F21FE6"/>
    <w:rsid w:val="00F2376F"/>
    <w:rsid w:val="00F243D8"/>
    <w:rsid w:val="00F24858"/>
    <w:rsid w:val="00F2675F"/>
    <w:rsid w:val="00F27FA5"/>
    <w:rsid w:val="00F30405"/>
    <w:rsid w:val="00F30828"/>
    <w:rsid w:val="00F31258"/>
    <w:rsid w:val="00F313D6"/>
    <w:rsid w:val="00F32F64"/>
    <w:rsid w:val="00F335DF"/>
    <w:rsid w:val="00F33C2D"/>
    <w:rsid w:val="00F34628"/>
    <w:rsid w:val="00F34F5A"/>
    <w:rsid w:val="00F3594C"/>
    <w:rsid w:val="00F35FC2"/>
    <w:rsid w:val="00F40F0C"/>
    <w:rsid w:val="00F414F6"/>
    <w:rsid w:val="00F416CA"/>
    <w:rsid w:val="00F418C1"/>
    <w:rsid w:val="00F43322"/>
    <w:rsid w:val="00F44F50"/>
    <w:rsid w:val="00F457C5"/>
    <w:rsid w:val="00F4766C"/>
    <w:rsid w:val="00F47A42"/>
    <w:rsid w:val="00F47F4B"/>
    <w:rsid w:val="00F5060E"/>
    <w:rsid w:val="00F507D1"/>
    <w:rsid w:val="00F51347"/>
    <w:rsid w:val="00F519CE"/>
    <w:rsid w:val="00F51ADA"/>
    <w:rsid w:val="00F5208F"/>
    <w:rsid w:val="00F536F2"/>
    <w:rsid w:val="00F539B5"/>
    <w:rsid w:val="00F54355"/>
    <w:rsid w:val="00F543CE"/>
    <w:rsid w:val="00F54E2A"/>
    <w:rsid w:val="00F551BC"/>
    <w:rsid w:val="00F55CF6"/>
    <w:rsid w:val="00F55D78"/>
    <w:rsid w:val="00F57C77"/>
    <w:rsid w:val="00F60203"/>
    <w:rsid w:val="00F6054E"/>
    <w:rsid w:val="00F606D9"/>
    <w:rsid w:val="00F607C5"/>
    <w:rsid w:val="00F60DEA"/>
    <w:rsid w:val="00F613C6"/>
    <w:rsid w:val="00F6147A"/>
    <w:rsid w:val="00F61FFE"/>
    <w:rsid w:val="00F6302A"/>
    <w:rsid w:val="00F635ED"/>
    <w:rsid w:val="00F63950"/>
    <w:rsid w:val="00F6436D"/>
    <w:rsid w:val="00F64C2B"/>
    <w:rsid w:val="00F651BE"/>
    <w:rsid w:val="00F669B2"/>
    <w:rsid w:val="00F6716D"/>
    <w:rsid w:val="00F67492"/>
    <w:rsid w:val="00F67C77"/>
    <w:rsid w:val="00F67F53"/>
    <w:rsid w:val="00F703BE"/>
    <w:rsid w:val="00F70E70"/>
    <w:rsid w:val="00F71F69"/>
    <w:rsid w:val="00F72A57"/>
    <w:rsid w:val="00F72B72"/>
    <w:rsid w:val="00F73B56"/>
    <w:rsid w:val="00F74BB9"/>
    <w:rsid w:val="00F74F9A"/>
    <w:rsid w:val="00F75582"/>
    <w:rsid w:val="00F756C3"/>
    <w:rsid w:val="00F763B3"/>
    <w:rsid w:val="00F76EFA"/>
    <w:rsid w:val="00F77617"/>
    <w:rsid w:val="00F77823"/>
    <w:rsid w:val="00F803DB"/>
    <w:rsid w:val="00F804BE"/>
    <w:rsid w:val="00F817CE"/>
    <w:rsid w:val="00F82155"/>
    <w:rsid w:val="00F82462"/>
    <w:rsid w:val="00F8289B"/>
    <w:rsid w:val="00F831EF"/>
    <w:rsid w:val="00F833FD"/>
    <w:rsid w:val="00F839ED"/>
    <w:rsid w:val="00F8456C"/>
    <w:rsid w:val="00F859D8"/>
    <w:rsid w:val="00F8665D"/>
    <w:rsid w:val="00F868F5"/>
    <w:rsid w:val="00F873CD"/>
    <w:rsid w:val="00F87444"/>
    <w:rsid w:val="00F9056A"/>
    <w:rsid w:val="00F90678"/>
    <w:rsid w:val="00F9089D"/>
    <w:rsid w:val="00F90E6E"/>
    <w:rsid w:val="00F90F8D"/>
    <w:rsid w:val="00F9149D"/>
    <w:rsid w:val="00F92368"/>
    <w:rsid w:val="00F92782"/>
    <w:rsid w:val="00F931B7"/>
    <w:rsid w:val="00F933BD"/>
    <w:rsid w:val="00F934F5"/>
    <w:rsid w:val="00F93AA9"/>
    <w:rsid w:val="00F94191"/>
    <w:rsid w:val="00F94A0B"/>
    <w:rsid w:val="00F94CC0"/>
    <w:rsid w:val="00F951E0"/>
    <w:rsid w:val="00F95804"/>
    <w:rsid w:val="00F96985"/>
    <w:rsid w:val="00F969E0"/>
    <w:rsid w:val="00F97838"/>
    <w:rsid w:val="00F97B5A"/>
    <w:rsid w:val="00F97F9C"/>
    <w:rsid w:val="00FA0C9F"/>
    <w:rsid w:val="00FA1749"/>
    <w:rsid w:val="00FA1F26"/>
    <w:rsid w:val="00FA2BB3"/>
    <w:rsid w:val="00FA61F7"/>
    <w:rsid w:val="00FA7DA3"/>
    <w:rsid w:val="00FB08DA"/>
    <w:rsid w:val="00FB0CB5"/>
    <w:rsid w:val="00FB0DAA"/>
    <w:rsid w:val="00FB12D7"/>
    <w:rsid w:val="00FB1744"/>
    <w:rsid w:val="00FB272F"/>
    <w:rsid w:val="00FB2CAE"/>
    <w:rsid w:val="00FB330D"/>
    <w:rsid w:val="00FB3372"/>
    <w:rsid w:val="00FB39B4"/>
    <w:rsid w:val="00FB4B21"/>
    <w:rsid w:val="00FB4C80"/>
    <w:rsid w:val="00FB53CA"/>
    <w:rsid w:val="00FB5FC3"/>
    <w:rsid w:val="00FB6A6A"/>
    <w:rsid w:val="00FB6D86"/>
    <w:rsid w:val="00FB7A15"/>
    <w:rsid w:val="00FC060F"/>
    <w:rsid w:val="00FC1681"/>
    <w:rsid w:val="00FC2F0F"/>
    <w:rsid w:val="00FC315C"/>
    <w:rsid w:val="00FC3413"/>
    <w:rsid w:val="00FC3D4B"/>
    <w:rsid w:val="00FC3E01"/>
    <w:rsid w:val="00FC46DD"/>
    <w:rsid w:val="00FC4DBC"/>
    <w:rsid w:val="00FC600F"/>
    <w:rsid w:val="00FC68DC"/>
    <w:rsid w:val="00FC6DA2"/>
    <w:rsid w:val="00FC7429"/>
    <w:rsid w:val="00FD07F6"/>
    <w:rsid w:val="00FD1003"/>
    <w:rsid w:val="00FD1EC8"/>
    <w:rsid w:val="00FD2F58"/>
    <w:rsid w:val="00FD30E2"/>
    <w:rsid w:val="00FD3F21"/>
    <w:rsid w:val="00FD47ED"/>
    <w:rsid w:val="00FD4C3E"/>
    <w:rsid w:val="00FD540F"/>
    <w:rsid w:val="00FD5608"/>
    <w:rsid w:val="00FD56F7"/>
    <w:rsid w:val="00FD69C1"/>
    <w:rsid w:val="00FD6CA7"/>
    <w:rsid w:val="00FD71C4"/>
    <w:rsid w:val="00FD74DB"/>
    <w:rsid w:val="00FD7584"/>
    <w:rsid w:val="00FD7660"/>
    <w:rsid w:val="00FE01CE"/>
    <w:rsid w:val="00FE0655"/>
    <w:rsid w:val="00FE14C5"/>
    <w:rsid w:val="00FE168D"/>
    <w:rsid w:val="00FE1A88"/>
    <w:rsid w:val="00FE2365"/>
    <w:rsid w:val="00FE23C9"/>
    <w:rsid w:val="00FE37D7"/>
    <w:rsid w:val="00FE3A77"/>
    <w:rsid w:val="00FE3D23"/>
    <w:rsid w:val="00FE4C7B"/>
    <w:rsid w:val="00FE5272"/>
    <w:rsid w:val="00FE52B7"/>
    <w:rsid w:val="00FE6076"/>
    <w:rsid w:val="00FE7336"/>
    <w:rsid w:val="00FE74F1"/>
    <w:rsid w:val="00FE787C"/>
    <w:rsid w:val="00FE7AD9"/>
    <w:rsid w:val="00FF067E"/>
    <w:rsid w:val="00FF2F49"/>
    <w:rsid w:val="00FF45A5"/>
    <w:rsid w:val="00FF527B"/>
    <w:rsid w:val="00FF5851"/>
    <w:rsid w:val="00FF5943"/>
    <w:rsid w:val="00FF5C91"/>
    <w:rsid w:val="00FF60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14294DC-3A75-4E27-92D7-51DB6FE5B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2F2BEE"/>
    <w:pPr>
      <w:numPr>
        <w:numId w:val="0"/>
      </w:numPr>
      <w:ind w:left="360"/>
      <w:jc w:val="cente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2F2BEE"/>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paragraph" w:customStyle="1" w:styleId="Default">
    <w:name w:val="Default"/>
    <w:rsid w:val="007E55F4"/>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8992">
      <w:bodyDiv w:val="1"/>
      <w:marLeft w:val="0"/>
      <w:marRight w:val="0"/>
      <w:marTop w:val="0"/>
      <w:marBottom w:val="0"/>
      <w:divBdr>
        <w:top w:val="none" w:sz="0" w:space="0" w:color="auto"/>
        <w:left w:val="none" w:sz="0" w:space="0" w:color="auto"/>
        <w:bottom w:val="none" w:sz="0" w:space="0" w:color="auto"/>
        <w:right w:val="none" w:sz="0" w:space="0" w:color="auto"/>
      </w:divBdr>
    </w:div>
    <w:div w:id="87580817">
      <w:bodyDiv w:val="1"/>
      <w:marLeft w:val="0"/>
      <w:marRight w:val="0"/>
      <w:marTop w:val="0"/>
      <w:marBottom w:val="0"/>
      <w:divBdr>
        <w:top w:val="none" w:sz="0" w:space="0" w:color="auto"/>
        <w:left w:val="none" w:sz="0" w:space="0" w:color="auto"/>
        <w:bottom w:val="none" w:sz="0" w:space="0" w:color="auto"/>
        <w:right w:val="none" w:sz="0" w:space="0" w:color="auto"/>
      </w:divBdr>
      <w:divsChild>
        <w:div w:id="19941932">
          <w:marLeft w:val="576"/>
          <w:marRight w:val="0"/>
          <w:marTop w:val="16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56112223">
      <w:bodyDiv w:val="1"/>
      <w:marLeft w:val="0"/>
      <w:marRight w:val="0"/>
      <w:marTop w:val="0"/>
      <w:marBottom w:val="0"/>
      <w:divBdr>
        <w:top w:val="none" w:sz="0" w:space="0" w:color="auto"/>
        <w:left w:val="none" w:sz="0" w:space="0" w:color="auto"/>
        <w:bottom w:val="none" w:sz="0" w:space="0" w:color="auto"/>
        <w:right w:val="none" w:sz="0" w:space="0" w:color="auto"/>
      </w:divBdr>
    </w:div>
    <w:div w:id="161510014">
      <w:bodyDiv w:val="1"/>
      <w:marLeft w:val="0"/>
      <w:marRight w:val="0"/>
      <w:marTop w:val="0"/>
      <w:marBottom w:val="0"/>
      <w:divBdr>
        <w:top w:val="none" w:sz="0" w:space="0" w:color="auto"/>
        <w:left w:val="none" w:sz="0" w:space="0" w:color="auto"/>
        <w:bottom w:val="none" w:sz="0" w:space="0" w:color="auto"/>
        <w:right w:val="none" w:sz="0" w:space="0" w:color="auto"/>
      </w:divBdr>
    </w:div>
    <w:div w:id="170418466">
      <w:bodyDiv w:val="1"/>
      <w:marLeft w:val="0"/>
      <w:marRight w:val="0"/>
      <w:marTop w:val="0"/>
      <w:marBottom w:val="0"/>
      <w:divBdr>
        <w:top w:val="none" w:sz="0" w:space="0" w:color="auto"/>
        <w:left w:val="none" w:sz="0" w:space="0" w:color="auto"/>
        <w:bottom w:val="none" w:sz="0" w:space="0" w:color="auto"/>
        <w:right w:val="none" w:sz="0" w:space="0" w:color="auto"/>
      </w:divBdr>
      <w:divsChild>
        <w:div w:id="891841174">
          <w:marLeft w:val="850"/>
          <w:marRight w:val="0"/>
          <w:marTop w:val="160"/>
          <w:marBottom w:val="0"/>
          <w:divBdr>
            <w:top w:val="none" w:sz="0" w:space="0" w:color="auto"/>
            <w:left w:val="none" w:sz="0" w:space="0" w:color="auto"/>
            <w:bottom w:val="none" w:sz="0" w:space="0" w:color="auto"/>
            <w:right w:val="none" w:sz="0" w:space="0" w:color="auto"/>
          </w:divBdr>
        </w:div>
        <w:div w:id="1557083290">
          <w:marLeft w:val="850"/>
          <w:marRight w:val="0"/>
          <w:marTop w:val="160"/>
          <w:marBottom w:val="0"/>
          <w:divBdr>
            <w:top w:val="none" w:sz="0" w:space="0" w:color="auto"/>
            <w:left w:val="none" w:sz="0" w:space="0" w:color="auto"/>
            <w:bottom w:val="none" w:sz="0" w:space="0" w:color="auto"/>
            <w:right w:val="none" w:sz="0" w:space="0" w:color="auto"/>
          </w:divBdr>
        </w:div>
      </w:divsChild>
    </w:div>
    <w:div w:id="174227298">
      <w:bodyDiv w:val="1"/>
      <w:marLeft w:val="0"/>
      <w:marRight w:val="0"/>
      <w:marTop w:val="0"/>
      <w:marBottom w:val="0"/>
      <w:divBdr>
        <w:top w:val="none" w:sz="0" w:space="0" w:color="auto"/>
        <w:left w:val="none" w:sz="0" w:space="0" w:color="auto"/>
        <w:bottom w:val="none" w:sz="0" w:space="0" w:color="auto"/>
        <w:right w:val="none" w:sz="0" w:space="0" w:color="auto"/>
      </w:divBdr>
    </w:div>
    <w:div w:id="174854289">
      <w:bodyDiv w:val="1"/>
      <w:marLeft w:val="0"/>
      <w:marRight w:val="0"/>
      <w:marTop w:val="0"/>
      <w:marBottom w:val="0"/>
      <w:divBdr>
        <w:top w:val="none" w:sz="0" w:space="0" w:color="auto"/>
        <w:left w:val="none" w:sz="0" w:space="0" w:color="auto"/>
        <w:bottom w:val="none" w:sz="0" w:space="0" w:color="auto"/>
        <w:right w:val="none" w:sz="0" w:space="0" w:color="auto"/>
      </w:divBdr>
    </w:div>
    <w:div w:id="23011487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3695757">
      <w:bodyDiv w:val="1"/>
      <w:marLeft w:val="0"/>
      <w:marRight w:val="0"/>
      <w:marTop w:val="0"/>
      <w:marBottom w:val="0"/>
      <w:divBdr>
        <w:top w:val="none" w:sz="0" w:space="0" w:color="auto"/>
        <w:left w:val="none" w:sz="0" w:space="0" w:color="auto"/>
        <w:bottom w:val="none" w:sz="0" w:space="0" w:color="auto"/>
        <w:right w:val="none" w:sz="0" w:space="0" w:color="auto"/>
      </w:divBdr>
    </w:div>
    <w:div w:id="464126175">
      <w:bodyDiv w:val="1"/>
      <w:marLeft w:val="0"/>
      <w:marRight w:val="0"/>
      <w:marTop w:val="0"/>
      <w:marBottom w:val="0"/>
      <w:divBdr>
        <w:top w:val="none" w:sz="0" w:space="0" w:color="auto"/>
        <w:left w:val="none" w:sz="0" w:space="0" w:color="auto"/>
        <w:bottom w:val="none" w:sz="0" w:space="0" w:color="auto"/>
        <w:right w:val="none" w:sz="0" w:space="0" w:color="auto"/>
      </w:divBdr>
    </w:div>
    <w:div w:id="517886173">
      <w:bodyDiv w:val="1"/>
      <w:marLeft w:val="0"/>
      <w:marRight w:val="0"/>
      <w:marTop w:val="0"/>
      <w:marBottom w:val="0"/>
      <w:divBdr>
        <w:top w:val="none" w:sz="0" w:space="0" w:color="auto"/>
        <w:left w:val="none" w:sz="0" w:space="0" w:color="auto"/>
        <w:bottom w:val="none" w:sz="0" w:space="0" w:color="auto"/>
        <w:right w:val="none" w:sz="0" w:space="0" w:color="auto"/>
      </w:divBdr>
    </w:div>
    <w:div w:id="528294958">
      <w:bodyDiv w:val="1"/>
      <w:marLeft w:val="0"/>
      <w:marRight w:val="0"/>
      <w:marTop w:val="0"/>
      <w:marBottom w:val="0"/>
      <w:divBdr>
        <w:top w:val="none" w:sz="0" w:space="0" w:color="auto"/>
        <w:left w:val="none" w:sz="0" w:space="0" w:color="auto"/>
        <w:bottom w:val="none" w:sz="0" w:space="0" w:color="auto"/>
        <w:right w:val="none" w:sz="0" w:space="0" w:color="auto"/>
      </w:divBdr>
      <w:divsChild>
        <w:div w:id="1250771200">
          <w:marLeft w:val="288"/>
          <w:marRight w:val="0"/>
          <w:marTop w:val="160"/>
          <w:marBottom w:val="0"/>
          <w:divBdr>
            <w:top w:val="none" w:sz="0" w:space="0" w:color="auto"/>
            <w:left w:val="none" w:sz="0" w:space="0" w:color="auto"/>
            <w:bottom w:val="none" w:sz="0" w:space="0" w:color="auto"/>
            <w:right w:val="none" w:sz="0" w:space="0" w:color="auto"/>
          </w:divBdr>
        </w:div>
        <w:div w:id="1153063019">
          <w:marLeft w:val="576"/>
          <w:marRight w:val="0"/>
          <w:marTop w:val="160"/>
          <w:marBottom w:val="0"/>
          <w:divBdr>
            <w:top w:val="none" w:sz="0" w:space="0" w:color="auto"/>
            <w:left w:val="none" w:sz="0" w:space="0" w:color="auto"/>
            <w:bottom w:val="none" w:sz="0" w:space="0" w:color="auto"/>
            <w:right w:val="none" w:sz="0" w:space="0" w:color="auto"/>
          </w:divBdr>
        </w:div>
        <w:div w:id="1111247112">
          <w:marLeft w:val="850"/>
          <w:marRight w:val="0"/>
          <w:marTop w:val="160"/>
          <w:marBottom w:val="0"/>
          <w:divBdr>
            <w:top w:val="none" w:sz="0" w:space="0" w:color="auto"/>
            <w:left w:val="none" w:sz="0" w:space="0" w:color="auto"/>
            <w:bottom w:val="none" w:sz="0" w:space="0" w:color="auto"/>
            <w:right w:val="none" w:sz="0" w:space="0" w:color="auto"/>
          </w:divBdr>
        </w:div>
        <w:div w:id="1968075198">
          <w:marLeft w:val="850"/>
          <w:marRight w:val="0"/>
          <w:marTop w:val="160"/>
          <w:marBottom w:val="0"/>
          <w:divBdr>
            <w:top w:val="none" w:sz="0" w:space="0" w:color="auto"/>
            <w:left w:val="none" w:sz="0" w:space="0" w:color="auto"/>
            <w:bottom w:val="none" w:sz="0" w:space="0" w:color="auto"/>
            <w:right w:val="none" w:sz="0" w:space="0" w:color="auto"/>
          </w:divBdr>
        </w:div>
        <w:div w:id="939030282">
          <w:marLeft w:val="850"/>
          <w:marRight w:val="0"/>
          <w:marTop w:val="160"/>
          <w:marBottom w:val="0"/>
          <w:divBdr>
            <w:top w:val="none" w:sz="0" w:space="0" w:color="auto"/>
            <w:left w:val="none" w:sz="0" w:space="0" w:color="auto"/>
            <w:bottom w:val="none" w:sz="0" w:space="0" w:color="auto"/>
            <w:right w:val="none" w:sz="0" w:space="0" w:color="auto"/>
          </w:divBdr>
        </w:div>
        <w:div w:id="2035766705">
          <w:marLeft w:val="576"/>
          <w:marRight w:val="0"/>
          <w:marTop w:val="160"/>
          <w:marBottom w:val="0"/>
          <w:divBdr>
            <w:top w:val="none" w:sz="0" w:space="0" w:color="auto"/>
            <w:left w:val="none" w:sz="0" w:space="0" w:color="auto"/>
            <w:bottom w:val="none" w:sz="0" w:space="0" w:color="auto"/>
            <w:right w:val="none" w:sz="0" w:space="0" w:color="auto"/>
          </w:divBdr>
        </w:div>
        <w:div w:id="607662507">
          <w:marLeft w:val="850"/>
          <w:marRight w:val="0"/>
          <w:marTop w:val="160"/>
          <w:marBottom w:val="0"/>
          <w:divBdr>
            <w:top w:val="none" w:sz="0" w:space="0" w:color="auto"/>
            <w:left w:val="none" w:sz="0" w:space="0" w:color="auto"/>
            <w:bottom w:val="none" w:sz="0" w:space="0" w:color="auto"/>
            <w:right w:val="none" w:sz="0" w:space="0" w:color="auto"/>
          </w:divBdr>
        </w:div>
        <w:div w:id="1739746851">
          <w:marLeft w:val="850"/>
          <w:marRight w:val="0"/>
          <w:marTop w:val="160"/>
          <w:marBottom w:val="0"/>
          <w:divBdr>
            <w:top w:val="none" w:sz="0" w:space="0" w:color="auto"/>
            <w:left w:val="none" w:sz="0" w:space="0" w:color="auto"/>
            <w:bottom w:val="none" w:sz="0" w:space="0" w:color="auto"/>
            <w:right w:val="none" w:sz="0" w:space="0" w:color="auto"/>
          </w:divBdr>
        </w:div>
        <w:div w:id="2084179052">
          <w:marLeft w:val="850"/>
          <w:marRight w:val="0"/>
          <w:marTop w:val="160"/>
          <w:marBottom w:val="0"/>
          <w:divBdr>
            <w:top w:val="none" w:sz="0" w:space="0" w:color="auto"/>
            <w:left w:val="none" w:sz="0" w:space="0" w:color="auto"/>
            <w:bottom w:val="none" w:sz="0" w:space="0" w:color="auto"/>
            <w:right w:val="none" w:sz="0" w:space="0" w:color="auto"/>
          </w:divBdr>
        </w:div>
        <w:div w:id="359362071">
          <w:marLeft w:val="576"/>
          <w:marRight w:val="0"/>
          <w:marTop w:val="160"/>
          <w:marBottom w:val="0"/>
          <w:divBdr>
            <w:top w:val="none" w:sz="0" w:space="0" w:color="auto"/>
            <w:left w:val="none" w:sz="0" w:space="0" w:color="auto"/>
            <w:bottom w:val="none" w:sz="0" w:space="0" w:color="auto"/>
            <w:right w:val="none" w:sz="0" w:space="0" w:color="auto"/>
          </w:divBdr>
        </w:div>
        <w:div w:id="247815896">
          <w:marLeft w:val="576"/>
          <w:marRight w:val="0"/>
          <w:marTop w:val="160"/>
          <w:marBottom w:val="0"/>
          <w:divBdr>
            <w:top w:val="none" w:sz="0" w:space="0" w:color="auto"/>
            <w:left w:val="none" w:sz="0" w:space="0" w:color="auto"/>
            <w:bottom w:val="none" w:sz="0" w:space="0" w:color="auto"/>
            <w:right w:val="none" w:sz="0" w:space="0" w:color="auto"/>
          </w:divBdr>
        </w:div>
      </w:divsChild>
    </w:div>
    <w:div w:id="573590266">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51131421">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904338219">
      <w:bodyDiv w:val="1"/>
      <w:marLeft w:val="0"/>
      <w:marRight w:val="0"/>
      <w:marTop w:val="0"/>
      <w:marBottom w:val="0"/>
      <w:divBdr>
        <w:top w:val="none" w:sz="0" w:space="0" w:color="auto"/>
        <w:left w:val="none" w:sz="0" w:space="0" w:color="auto"/>
        <w:bottom w:val="none" w:sz="0" w:space="0" w:color="auto"/>
        <w:right w:val="none" w:sz="0" w:space="0" w:color="auto"/>
      </w:divBdr>
      <w:divsChild>
        <w:div w:id="1226599903">
          <w:marLeft w:val="850"/>
          <w:marRight w:val="0"/>
          <w:marTop w:val="16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8779691">
      <w:bodyDiv w:val="1"/>
      <w:marLeft w:val="0"/>
      <w:marRight w:val="0"/>
      <w:marTop w:val="0"/>
      <w:marBottom w:val="0"/>
      <w:divBdr>
        <w:top w:val="none" w:sz="0" w:space="0" w:color="auto"/>
        <w:left w:val="none" w:sz="0" w:space="0" w:color="auto"/>
        <w:bottom w:val="none" w:sz="0" w:space="0" w:color="auto"/>
        <w:right w:val="none" w:sz="0" w:space="0" w:color="auto"/>
      </w:divBdr>
      <w:divsChild>
        <w:div w:id="1838302017">
          <w:marLeft w:val="288"/>
          <w:marRight w:val="0"/>
          <w:marTop w:val="160"/>
          <w:marBottom w:val="0"/>
          <w:divBdr>
            <w:top w:val="none" w:sz="0" w:space="0" w:color="auto"/>
            <w:left w:val="none" w:sz="0" w:space="0" w:color="auto"/>
            <w:bottom w:val="none" w:sz="0" w:space="0" w:color="auto"/>
            <w:right w:val="none" w:sz="0" w:space="0" w:color="auto"/>
          </w:divBdr>
        </w:div>
      </w:divsChild>
    </w:div>
    <w:div w:id="948927264">
      <w:bodyDiv w:val="1"/>
      <w:marLeft w:val="0"/>
      <w:marRight w:val="0"/>
      <w:marTop w:val="0"/>
      <w:marBottom w:val="0"/>
      <w:divBdr>
        <w:top w:val="none" w:sz="0" w:space="0" w:color="auto"/>
        <w:left w:val="none" w:sz="0" w:space="0" w:color="auto"/>
        <w:bottom w:val="none" w:sz="0" w:space="0" w:color="auto"/>
        <w:right w:val="none" w:sz="0" w:space="0" w:color="auto"/>
      </w:divBdr>
      <w:divsChild>
        <w:div w:id="1107889248">
          <w:marLeft w:val="1138"/>
          <w:marRight w:val="0"/>
          <w:marTop w:val="160"/>
          <w:marBottom w:val="0"/>
          <w:divBdr>
            <w:top w:val="none" w:sz="0" w:space="0" w:color="auto"/>
            <w:left w:val="none" w:sz="0" w:space="0" w:color="auto"/>
            <w:bottom w:val="none" w:sz="0" w:space="0" w:color="auto"/>
            <w:right w:val="none" w:sz="0" w:space="0" w:color="auto"/>
          </w:divBdr>
        </w:div>
      </w:divsChild>
    </w:div>
    <w:div w:id="1023093622">
      <w:bodyDiv w:val="1"/>
      <w:marLeft w:val="0"/>
      <w:marRight w:val="0"/>
      <w:marTop w:val="0"/>
      <w:marBottom w:val="0"/>
      <w:divBdr>
        <w:top w:val="none" w:sz="0" w:space="0" w:color="auto"/>
        <w:left w:val="none" w:sz="0" w:space="0" w:color="auto"/>
        <w:bottom w:val="none" w:sz="0" w:space="0" w:color="auto"/>
        <w:right w:val="none" w:sz="0" w:space="0" w:color="auto"/>
      </w:divBdr>
    </w:div>
    <w:div w:id="1035808864">
      <w:bodyDiv w:val="1"/>
      <w:marLeft w:val="0"/>
      <w:marRight w:val="0"/>
      <w:marTop w:val="0"/>
      <w:marBottom w:val="0"/>
      <w:divBdr>
        <w:top w:val="none" w:sz="0" w:space="0" w:color="auto"/>
        <w:left w:val="none" w:sz="0" w:space="0" w:color="auto"/>
        <w:bottom w:val="none" w:sz="0" w:space="0" w:color="auto"/>
        <w:right w:val="none" w:sz="0" w:space="0" w:color="auto"/>
      </w:divBdr>
      <w:divsChild>
        <w:div w:id="635448421">
          <w:marLeft w:val="850"/>
          <w:marRight w:val="0"/>
          <w:marTop w:val="160"/>
          <w:marBottom w:val="0"/>
          <w:divBdr>
            <w:top w:val="none" w:sz="0" w:space="0" w:color="auto"/>
            <w:left w:val="none" w:sz="0" w:space="0" w:color="auto"/>
            <w:bottom w:val="none" w:sz="0" w:space="0" w:color="auto"/>
            <w:right w:val="none" w:sz="0" w:space="0" w:color="auto"/>
          </w:divBdr>
        </w:div>
      </w:divsChild>
    </w:div>
    <w:div w:id="1058699919">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370571794">
      <w:bodyDiv w:val="1"/>
      <w:marLeft w:val="0"/>
      <w:marRight w:val="0"/>
      <w:marTop w:val="0"/>
      <w:marBottom w:val="0"/>
      <w:divBdr>
        <w:top w:val="none" w:sz="0" w:space="0" w:color="auto"/>
        <w:left w:val="none" w:sz="0" w:space="0" w:color="auto"/>
        <w:bottom w:val="none" w:sz="0" w:space="0" w:color="auto"/>
        <w:right w:val="none" w:sz="0" w:space="0" w:color="auto"/>
      </w:divBdr>
      <w:divsChild>
        <w:div w:id="1226142043">
          <w:marLeft w:val="576"/>
          <w:marRight w:val="0"/>
          <w:marTop w:val="160"/>
          <w:marBottom w:val="0"/>
          <w:divBdr>
            <w:top w:val="none" w:sz="0" w:space="0" w:color="auto"/>
            <w:left w:val="none" w:sz="0" w:space="0" w:color="auto"/>
            <w:bottom w:val="none" w:sz="0" w:space="0" w:color="auto"/>
            <w:right w:val="none" w:sz="0" w:space="0" w:color="auto"/>
          </w:divBdr>
        </w:div>
      </w:divsChild>
    </w:div>
    <w:div w:id="1375540826">
      <w:bodyDiv w:val="1"/>
      <w:marLeft w:val="0"/>
      <w:marRight w:val="0"/>
      <w:marTop w:val="0"/>
      <w:marBottom w:val="0"/>
      <w:divBdr>
        <w:top w:val="none" w:sz="0" w:space="0" w:color="auto"/>
        <w:left w:val="none" w:sz="0" w:space="0" w:color="auto"/>
        <w:bottom w:val="none" w:sz="0" w:space="0" w:color="auto"/>
        <w:right w:val="none" w:sz="0" w:space="0" w:color="auto"/>
      </w:divBdr>
      <w:divsChild>
        <w:div w:id="559245858">
          <w:marLeft w:val="288"/>
          <w:marRight w:val="0"/>
          <w:marTop w:val="160"/>
          <w:marBottom w:val="0"/>
          <w:divBdr>
            <w:top w:val="none" w:sz="0" w:space="0" w:color="auto"/>
            <w:left w:val="none" w:sz="0" w:space="0" w:color="auto"/>
            <w:bottom w:val="none" w:sz="0" w:space="0" w:color="auto"/>
            <w:right w:val="none" w:sz="0" w:space="0" w:color="auto"/>
          </w:divBdr>
        </w:div>
        <w:div w:id="2085299099">
          <w:marLeft w:val="576"/>
          <w:marRight w:val="0"/>
          <w:marTop w:val="160"/>
          <w:marBottom w:val="0"/>
          <w:divBdr>
            <w:top w:val="none" w:sz="0" w:space="0" w:color="auto"/>
            <w:left w:val="none" w:sz="0" w:space="0" w:color="auto"/>
            <w:bottom w:val="none" w:sz="0" w:space="0" w:color="auto"/>
            <w:right w:val="none" w:sz="0" w:space="0" w:color="auto"/>
          </w:divBdr>
        </w:div>
        <w:div w:id="1217353214">
          <w:marLeft w:val="850"/>
          <w:marRight w:val="0"/>
          <w:marTop w:val="160"/>
          <w:marBottom w:val="0"/>
          <w:divBdr>
            <w:top w:val="none" w:sz="0" w:space="0" w:color="auto"/>
            <w:left w:val="none" w:sz="0" w:space="0" w:color="auto"/>
            <w:bottom w:val="none" w:sz="0" w:space="0" w:color="auto"/>
            <w:right w:val="none" w:sz="0" w:space="0" w:color="auto"/>
          </w:divBdr>
        </w:div>
        <w:div w:id="1781021675">
          <w:marLeft w:val="850"/>
          <w:marRight w:val="0"/>
          <w:marTop w:val="160"/>
          <w:marBottom w:val="0"/>
          <w:divBdr>
            <w:top w:val="none" w:sz="0" w:space="0" w:color="auto"/>
            <w:left w:val="none" w:sz="0" w:space="0" w:color="auto"/>
            <w:bottom w:val="none" w:sz="0" w:space="0" w:color="auto"/>
            <w:right w:val="none" w:sz="0" w:space="0" w:color="auto"/>
          </w:divBdr>
        </w:div>
        <w:div w:id="120000011">
          <w:marLeft w:val="850"/>
          <w:marRight w:val="0"/>
          <w:marTop w:val="160"/>
          <w:marBottom w:val="0"/>
          <w:divBdr>
            <w:top w:val="none" w:sz="0" w:space="0" w:color="auto"/>
            <w:left w:val="none" w:sz="0" w:space="0" w:color="auto"/>
            <w:bottom w:val="none" w:sz="0" w:space="0" w:color="auto"/>
            <w:right w:val="none" w:sz="0" w:space="0" w:color="auto"/>
          </w:divBdr>
        </w:div>
        <w:div w:id="556473467">
          <w:marLeft w:val="576"/>
          <w:marRight w:val="0"/>
          <w:marTop w:val="160"/>
          <w:marBottom w:val="0"/>
          <w:divBdr>
            <w:top w:val="none" w:sz="0" w:space="0" w:color="auto"/>
            <w:left w:val="none" w:sz="0" w:space="0" w:color="auto"/>
            <w:bottom w:val="none" w:sz="0" w:space="0" w:color="auto"/>
            <w:right w:val="none" w:sz="0" w:space="0" w:color="auto"/>
          </w:divBdr>
        </w:div>
        <w:div w:id="1079139814">
          <w:marLeft w:val="850"/>
          <w:marRight w:val="0"/>
          <w:marTop w:val="160"/>
          <w:marBottom w:val="0"/>
          <w:divBdr>
            <w:top w:val="none" w:sz="0" w:space="0" w:color="auto"/>
            <w:left w:val="none" w:sz="0" w:space="0" w:color="auto"/>
            <w:bottom w:val="none" w:sz="0" w:space="0" w:color="auto"/>
            <w:right w:val="none" w:sz="0" w:space="0" w:color="auto"/>
          </w:divBdr>
        </w:div>
        <w:div w:id="1558469040">
          <w:marLeft w:val="850"/>
          <w:marRight w:val="0"/>
          <w:marTop w:val="160"/>
          <w:marBottom w:val="0"/>
          <w:divBdr>
            <w:top w:val="none" w:sz="0" w:space="0" w:color="auto"/>
            <w:left w:val="none" w:sz="0" w:space="0" w:color="auto"/>
            <w:bottom w:val="none" w:sz="0" w:space="0" w:color="auto"/>
            <w:right w:val="none" w:sz="0" w:space="0" w:color="auto"/>
          </w:divBdr>
        </w:div>
        <w:div w:id="35080276">
          <w:marLeft w:val="850"/>
          <w:marRight w:val="0"/>
          <w:marTop w:val="160"/>
          <w:marBottom w:val="0"/>
          <w:divBdr>
            <w:top w:val="none" w:sz="0" w:space="0" w:color="auto"/>
            <w:left w:val="none" w:sz="0" w:space="0" w:color="auto"/>
            <w:bottom w:val="none" w:sz="0" w:space="0" w:color="auto"/>
            <w:right w:val="none" w:sz="0" w:space="0" w:color="auto"/>
          </w:divBdr>
        </w:div>
        <w:div w:id="115757636">
          <w:marLeft w:val="576"/>
          <w:marRight w:val="0"/>
          <w:marTop w:val="160"/>
          <w:marBottom w:val="0"/>
          <w:divBdr>
            <w:top w:val="none" w:sz="0" w:space="0" w:color="auto"/>
            <w:left w:val="none" w:sz="0" w:space="0" w:color="auto"/>
            <w:bottom w:val="none" w:sz="0" w:space="0" w:color="auto"/>
            <w:right w:val="none" w:sz="0" w:space="0" w:color="auto"/>
          </w:divBdr>
        </w:div>
        <w:div w:id="1694377849">
          <w:marLeft w:val="576"/>
          <w:marRight w:val="0"/>
          <w:marTop w:val="160"/>
          <w:marBottom w:val="0"/>
          <w:divBdr>
            <w:top w:val="none" w:sz="0" w:space="0" w:color="auto"/>
            <w:left w:val="none" w:sz="0" w:space="0" w:color="auto"/>
            <w:bottom w:val="none" w:sz="0" w:space="0" w:color="auto"/>
            <w:right w:val="none" w:sz="0" w:space="0" w:color="auto"/>
          </w:divBdr>
        </w:div>
      </w:divsChild>
    </w:div>
    <w:div w:id="1412236611">
      <w:bodyDiv w:val="1"/>
      <w:marLeft w:val="0"/>
      <w:marRight w:val="0"/>
      <w:marTop w:val="0"/>
      <w:marBottom w:val="0"/>
      <w:divBdr>
        <w:top w:val="none" w:sz="0" w:space="0" w:color="auto"/>
        <w:left w:val="none" w:sz="0" w:space="0" w:color="auto"/>
        <w:bottom w:val="none" w:sz="0" w:space="0" w:color="auto"/>
        <w:right w:val="none" w:sz="0" w:space="0" w:color="auto"/>
      </w:divBdr>
      <w:divsChild>
        <w:div w:id="1102534347">
          <w:marLeft w:val="1008"/>
          <w:marRight w:val="0"/>
          <w:marTop w:val="160"/>
          <w:marBottom w:val="0"/>
          <w:divBdr>
            <w:top w:val="none" w:sz="0" w:space="0" w:color="auto"/>
            <w:left w:val="none" w:sz="0" w:space="0" w:color="auto"/>
            <w:bottom w:val="none" w:sz="0" w:space="0" w:color="auto"/>
            <w:right w:val="none" w:sz="0" w:space="0" w:color="auto"/>
          </w:divBdr>
        </w:div>
      </w:divsChild>
    </w:div>
    <w:div w:id="1414888936">
      <w:bodyDiv w:val="1"/>
      <w:marLeft w:val="0"/>
      <w:marRight w:val="0"/>
      <w:marTop w:val="0"/>
      <w:marBottom w:val="0"/>
      <w:divBdr>
        <w:top w:val="none" w:sz="0" w:space="0" w:color="auto"/>
        <w:left w:val="none" w:sz="0" w:space="0" w:color="auto"/>
        <w:bottom w:val="none" w:sz="0" w:space="0" w:color="auto"/>
        <w:right w:val="none" w:sz="0" w:space="0" w:color="auto"/>
      </w:divBdr>
      <w:divsChild>
        <w:div w:id="304551509">
          <w:marLeft w:val="1138"/>
          <w:marRight w:val="0"/>
          <w:marTop w:val="160"/>
          <w:marBottom w:val="0"/>
          <w:divBdr>
            <w:top w:val="none" w:sz="0" w:space="0" w:color="auto"/>
            <w:left w:val="none" w:sz="0" w:space="0" w:color="auto"/>
            <w:bottom w:val="none" w:sz="0" w:space="0" w:color="auto"/>
            <w:right w:val="none" w:sz="0" w:space="0" w:color="auto"/>
          </w:divBdr>
        </w:div>
      </w:divsChild>
    </w:div>
    <w:div w:id="1447653349">
      <w:bodyDiv w:val="1"/>
      <w:marLeft w:val="0"/>
      <w:marRight w:val="0"/>
      <w:marTop w:val="0"/>
      <w:marBottom w:val="0"/>
      <w:divBdr>
        <w:top w:val="none" w:sz="0" w:space="0" w:color="auto"/>
        <w:left w:val="none" w:sz="0" w:space="0" w:color="auto"/>
        <w:bottom w:val="none" w:sz="0" w:space="0" w:color="auto"/>
        <w:right w:val="none" w:sz="0" w:space="0" w:color="auto"/>
      </w:divBdr>
      <w:divsChild>
        <w:div w:id="1120874975">
          <w:marLeft w:val="850"/>
          <w:marRight w:val="0"/>
          <w:marTop w:val="160"/>
          <w:marBottom w:val="0"/>
          <w:divBdr>
            <w:top w:val="none" w:sz="0" w:space="0" w:color="auto"/>
            <w:left w:val="none" w:sz="0" w:space="0" w:color="auto"/>
            <w:bottom w:val="none" w:sz="0" w:space="0" w:color="auto"/>
            <w:right w:val="none" w:sz="0" w:space="0" w:color="auto"/>
          </w:divBdr>
        </w:div>
      </w:divsChild>
    </w:div>
    <w:div w:id="1483963860">
      <w:bodyDiv w:val="1"/>
      <w:marLeft w:val="0"/>
      <w:marRight w:val="0"/>
      <w:marTop w:val="0"/>
      <w:marBottom w:val="0"/>
      <w:divBdr>
        <w:top w:val="none" w:sz="0" w:space="0" w:color="auto"/>
        <w:left w:val="none" w:sz="0" w:space="0" w:color="auto"/>
        <w:bottom w:val="none" w:sz="0" w:space="0" w:color="auto"/>
        <w:right w:val="none" w:sz="0" w:space="0" w:color="auto"/>
      </w:divBdr>
      <w:divsChild>
        <w:div w:id="1327589539">
          <w:marLeft w:val="850"/>
          <w:marRight w:val="0"/>
          <w:marTop w:val="160"/>
          <w:marBottom w:val="0"/>
          <w:divBdr>
            <w:top w:val="none" w:sz="0" w:space="0" w:color="auto"/>
            <w:left w:val="none" w:sz="0" w:space="0" w:color="auto"/>
            <w:bottom w:val="none" w:sz="0" w:space="0" w:color="auto"/>
            <w:right w:val="none" w:sz="0" w:space="0" w:color="auto"/>
          </w:divBdr>
        </w:div>
      </w:divsChild>
    </w:div>
    <w:div w:id="1487865437">
      <w:bodyDiv w:val="1"/>
      <w:marLeft w:val="0"/>
      <w:marRight w:val="0"/>
      <w:marTop w:val="0"/>
      <w:marBottom w:val="0"/>
      <w:divBdr>
        <w:top w:val="none" w:sz="0" w:space="0" w:color="auto"/>
        <w:left w:val="none" w:sz="0" w:space="0" w:color="auto"/>
        <w:bottom w:val="none" w:sz="0" w:space="0" w:color="auto"/>
        <w:right w:val="none" w:sz="0" w:space="0" w:color="auto"/>
      </w:divBdr>
      <w:divsChild>
        <w:div w:id="177045445">
          <w:marLeft w:val="576"/>
          <w:marRight w:val="0"/>
          <w:marTop w:val="160"/>
          <w:marBottom w:val="0"/>
          <w:divBdr>
            <w:top w:val="none" w:sz="0" w:space="0" w:color="auto"/>
            <w:left w:val="none" w:sz="0" w:space="0" w:color="auto"/>
            <w:bottom w:val="none" w:sz="0" w:space="0" w:color="auto"/>
            <w:right w:val="none" w:sz="0" w:space="0" w:color="auto"/>
          </w:divBdr>
        </w:div>
      </w:divsChild>
    </w:div>
    <w:div w:id="1501236947">
      <w:bodyDiv w:val="1"/>
      <w:marLeft w:val="0"/>
      <w:marRight w:val="0"/>
      <w:marTop w:val="0"/>
      <w:marBottom w:val="0"/>
      <w:divBdr>
        <w:top w:val="none" w:sz="0" w:space="0" w:color="auto"/>
        <w:left w:val="none" w:sz="0" w:space="0" w:color="auto"/>
        <w:bottom w:val="none" w:sz="0" w:space="0" w:color="auto"/>
        <w:right w:val="none" w:sz="0" w:space="0" w:color="auto"/>
      </w:divBdr>
      <w:divsChild>
        <w:div w:id="1631590413">
          <w:marLeft w:val="288"/>
          <w:marRight w:val="0"/>
          <w:marTop w:val="160"/>
          <w:marBottom w:val="0"/>
          <w:divBdr>
            <w:top w:val="none" w:sz="0" w:space="0" w:color="auto"/>
            <w:left w:val="none" w:sz="0" w:space="0" w:color="auto"/>
            <w:bottom w:val="none" w:sz="0" w:space="0" w:color="auto"/>
            <w:right w:val="none" w:sz="0" w:space="0" w:color="auto"/>
          </w:divBdr>
        </w:div>
        <w:div w:id="41253416">
          <w:marLeft w:val="576"/>
          <w:marRight w:val="0"/>
          <w:marTop w:val="160"/>
          <w:marBottom w:val="0"/>
          <w:divBdr>
            <w:top w:val="none" w:sz="0" w:space="0" w:color="auto"/>
            <w:left w:val="none" w:sz="0" w:space="0" w:color="auto"/>
            <w:bottom w:val="none" w:sz="0" w:space="0" w:color="auto"/>
            <w:right w:val="none" w:sz="0" w:space="0" w:color="auto"/>
          </w:divBdr>
        </w:div>
        <w:div w:id="1243023819">
          <w:marLeft w:val="850"/>
          <w:marRight w:val="0"/>
          <w:marTop w:val="160"/>
          <w:marBottom w:val="0"/>
          <w:divBdr>
            <w:top w:val="none" w:sz="0" w:space="0" w:color="auto"/>
            <w:left w:val="none" w:sz="0" w:space="0" w:color="auto"/>
            <w:bottom w:val="none" w:sz="0" w:space="0" w:color="auto"/>
            <w:right w:val="none" w:sz="0" w:space="0" w:color="auto"/>
          </w:divBdr>
        </w:div>
        <w:div w:id="1471053026">
          <w:marLeft w:val="850"/>
          <w:marRight w:val="0"/>
          <w:marTop w:val="160"/>
          <w:marBottom w:val="0"/>
          <w:divBdr>
            <w:top w:val="none" w:sz="0" w:space="0" w:color="auto"/>
            <w:left w:val="none" w:sz="0" w:space="0" w:color="auto"/>
            <w:bottom w:val="none" w:sz="0" w:space="0" w:color="auto"/>
            <w:right w:val="none" w:sz="0" w:space="0" w:color="auto"/>
          </w:divBdr>
        </w:div>
        <w:div w:id="908854861">
          <w:marLeft w:val="576"/>
          <w:marRight w:val="0"/>
          <w:marTop w:val="160"/>
          <w:marBottom w:val="0"/>
          <w:divBdr>
            <w:top w:val="none" w:sz="0" w:space="0" w:color="auto"/>
            <w:left w:val="none" w:sz="0" w:space="0" w:color="auto"/>
            <w:bottom w:val="none" w:sz="0" w:space="0" w:color="auto"/>
            <w:right w:val="none" w:sz="0" w:space="0" w:color="auto"/>
          </w:divBdr>
        </w:div>
        <w:div w:id="1433940808">
          <w:marLeft w:val="850"/>
          <w:marRight w:val="0"/>
          <w:marTop w:val="160"/>
          <w:marBottom w:val="0"/>
          <w:divBdr>
            <w:top w:val="none" w:sz="0" w:space="0" w:color="auto"/>
            <w:left w:val="none" w:sz="0" w:space="0" w:color="auto"/>
            <w:bottom w:val="none" w:sz="0" w:space="0" w:color="auto"/>
            <w:right w:val="none" w:sz="0" w:space="0" w:color="auto"/>
          </w:divBdr>
        </w:div>
        <w:div w:id="699283692">
          <w:marLeft w:val="850"/>
          <w:marRight w:val="0"/>
          <w:marTop w:val="160"/>
          <w:marBottom w:val="0"/>
          <w:divBdr>
            <w:top w:val="none" w:sz="0" w:space="0" w:color="auto"/>
            <w:left w:val="none" w:sz="0" w:space="0" w:color="auto"/>
            <w:bottom w:val="none" w:sz="0" w:space="0" w:color="auto"/>
            <w:right w:val="none" w:sz="0" w:space="0" w:color="auto"/>
          </w:divBdr>
        </w:div>
        <w:div w:id="214314760">
          <w:marLeft w:val="288"/>
          <w:marRight w:val="0"/>
          <w:marTop w:val="160"/>
          <w:marBottom w:val="0"/>
          <w:divBdr>
            <w:top w:val="none" w:sz="0" w:space="0" w:color="auto"/>
            <w:left w:val="none" w:sz="0" w:space="0" w:color="auto"/>
            <w:bottom w:val="none" w:sz="0" w:space="0" w:color="auto"/>
            <w:right w:val="none" w:sz="0" w:space="0" w:color="auto"/>
          </w:divBdr>
        </w:div>
      </w:divsChild>
    </w:div>
    <w:div w:id="1513059991">
      <w:bodyDiv w:val="1"/>
      <w:marLeft w:val="0"/>
      <w:marRight w:val="0"/>
      <w:marTop w:val="0"/>
      <w:marBottom w:val="0"/>
      <w:divBdr>
        <w:top w:val="none" w:sz="0" w:space="0" w:color="auto"/>
        <w:left w:val="none" w:sz="0" w:space="0" w:color="auto"/>
        <w:bottom w:val="none" w:sz="0" w:space="0" w:color="auto"/>
        <w:right w:val="none" w:sz="0" w:space="0" w:color="auto"/>
      </w:divBdr>
    </w:div>
    <w:div w:id="1529445753">
      <w:bodyDiv w:val="1"/>
      <w:marLeft w:val="0"/>
      <w:marRight w:val="0"/>
      <w:marTop w:val="0"/>
      <w:marBottom w:val="0"/>
      <w:divBdr>
        <w:top w:val="none" w:sz="0" w:space="0" w:color="auto"/>
        <w:left w:val="none" w:sz="0" w:space="0" w:color="auto"/>
        <w:bottom w:val="none" w:sz="0" w:space="0" w:color="auto"/>
        <w:right w:val="none" w:sz="0" w:space="0" w:color="auto"/>
      </w:divBdr>
      <w:divsChild>
        <w:div w:id="414593160">
          <w:marLeft w:val="1138"/>
          <w:marRight w:val="0"/>
          <w:marTop w:val="160"/>
          <w:marBottom w:val="0"/>
          <w:divBdr>
            <w:top w:val="none" w:sz="0" w:space="0" w:color="auto"/>
            <w:left w:val="none" w:sz="0" w:space="0" w:color="auto"/>
            <w:bottom w:val="none" w:sz="0" w:space="0" w:color="auto"/>
            <w:right w:val="none" w:sz="0" w:space="0" w:color="auto"/>
          </w:divBdr>
        </w:div>
      </w:divsChild>
    </w:div>
    <w:div w:id="154463758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744403782">
      <w:bodyDiv w:val="1"/>
      <w:marLeft w:val="0"/>
      <w:marRight w:val="0"/>
      <w:marTop w:val="0"/>
      <w:marBottom w:val="0"/>
      <w:divBdr>
        <w:top w:val="none" w:sz="0" w:space="0" w:color="auto"/>
        <w:left w:val="none" w:sz="0" w:space="0" w:color="auto"/>
        <w:bottom w:val="none" w:sz="0" w:space="0" w:color="auto"/>
        <w:right w:val="none" w:sz="0" w:space="0" w:color="auto"/>
      </w:divBdr>
      <w:divsChild>
        <w:div w:id="846559953">
          <w:marLeft w:val="288"/>
          <w:marRight w:val="0"/>
          <w:marTop w:val="160"/>
          <w:marBottom w:val="0"/>
          <w:divBdr>
            <w:top w:val="none" w:sz="0" w:space="0" w:color="auto"/>
            <w:left w:val="none" w:sz="0" w:space="0" w:color="auto"/>
            <w:bottom w:val="none" w:sz="0" w:space="0" w:color="auto"/>
            <w:right w:val="none" w:sz="0" w:space="0" w:color="auto"/>
          </w:divBdr>
        </w:div>
        <w:div w:id="102266119">
          <w:marLeft w:val="576"/>
          <w:marRight w:val="0"/>
          <w:marTop w:val="0"/>
          <w:marBottom w:val="0"/>
          <w:divBdr>
            <w:top w:val="none" w:sz="0" w:space="0" w:color="auto"/>
            <w:left w:val="none" w:sz="0" w:space="0" w:color="auto"/>
            <w:bottom w:val="none" w:sz="0" w:space="0" w:color="auto"/>
            <w:right w:val="none" w:sz="0" w:space="0" w:color="auto"/>
          </w:divBdr>
        </w:div>
        <w:div w:id="333260792">
          <w:marLeft w:val="576"/>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3590814">
      <w:bodyDiv w:val="1"/>
      <w:marLeft w:val="0"/>
      <w:marRight w:val="0"/>
      <w:marTop w:val="0"/>
      <w:marBottom w:val="0"/>
      <w:divBdr>
        <w:top w:val="none" w:sz="0" w:space="0" w:color="auto"/>
        <w:left w:val="none" w:sz="0" w:space="0" w:color="auto"/>
        <w:bottom w:val="none" w:sz="0" w:space="0" w:color="auto"/>
        <w:right w:val="none" w:sz="0" w:space="0" w:color="auto"/>
      </w:divBdr>
    </w:div>
    <w:div w:id="1898130583">
      <w:bodyDiv w:val="1"/>
      <w:marLeft w:val="0"/>
      <w:marRight w:val="0"/>
      <w:marTop w:val="0"/>
      <w:marBottom w:val="0"/>
      <w:divBdr>
        <w:top w:val="none" w:sz="0" w:space="0" w:color="auto"/>
        <w:left w:val="none" w:sz="0" w:space="0" w:color="auto"/>
        <w:bottom w:val="none" w:sz="0" w:space="0" w:color="auto"/>
        <w:right w:val="none" w:sz="0" w:space="0" w:color="auto"/>
      </w:divBdr>
    </w:div>
    <w:div w:id="1898592126">
      <w:bodyDiv w:val="1"/>
      <w:marLeft w:val="0"/>
      <w:marRight w:val="0"/>
      <w:marTop w:val="0"/>
      <w:marBottom w:val="0"/>
      <w:divBdr>
        <w:top w:val="none" w:sz="0" w:space="0" w:color="auto"/>
        <w:left w:val="none" w:sz="0" w:space="0" w:color="auto"/>
        <w:bottom w:val="none" w:sz="0" w:space="0" w:color="auto"/>
        <w:right w:val="none" w:sz="0" w:space="0" w:color="auto"/>
      </w:divBdr>
    </w:div>
    <w:div w:id="1903710967">
      <w:bodyDiv w:val="1"/>
      <w:marLeft w:val="0"/>
      <w:marRight w:val="0"/>
      <w:marTop w:val="0"/>
      <w:marBottom w:val="0"/>
      <w:divBdr>
        <w:top w:val="none" w:sz="0" w:space="0" w:color="auto"/>
        <w:left w:val="none" w:sz="0" w:space="0" w:color="auto"/>
        <w:bottom w:val="none" w:sz="0" w:space="0" w:color="auto"/>
        <w:right w:val="none" w:sz="0" w:space="0" w:color="auto"/>
      </w:divBdr>
    </w:div>
    <w:div w:id="1918123507">
      <w:bodyDiv w:val="1"/>
      <w:marLeft w:val="0"/>
      <w:marRight w:val="0"/>
      <w:marTop w:val="0"/>
      <w:marBottom w:val="0"/>
      <w:divBdr>
        <w:top w:val="none" w:sz="0" w:space="0" w:color="auto"/>
        <w:left w:val="none" w:sz="0" w:space="0" w:color="auto"/>
        <w:bottom w:val="none" w:sz="0" w:space="0" w:color="auto"/>
        <w:right w:val="none" w:sz="0" w:space="0" w:color="auto"/>
      </w:divBdr>
    </w:div>
    <w:div w:id="1975063825">
      <w:bodyDiv w:val="1"/>
      <w:marLeft w:val="0"/>
      <w:marRight w:val="0"/>
      <w:marTop w:val="0"/>
      <w:marBottom w:val="0"/>
      <w:divBdr>
        <w:top w:val="none" w:sz="0" w:space="0" w:color="auto"/>
        <w:left w:val="none" w:sz="0" w:space="0" w:color="auto"/>
        <w:bottom w:val="none" w:sz="0" w:space="0" w:color="auto"/>
        <w:right w:val="none" w:sz="0" w:space="0" w:color="auto"/>
      </w:divBdr>
    </w:div>
    <w:div w:id="2026052053">
      <w:bodyDiv w:val="1"/>
      <w:marLeft w:val="0"/>
      <w:marRight w:val="0"/>
      <w:marTop w:val="0"/>
      <w:marBottom w:val="0"/>
      <w:divBdr>
        <w:top w:val="none" w:sz="0" w:space="0" w:color="auto"/>
        <w:left w:val="none" w:sz="0" w:space="0" w:color="auto"/>
        <w:bottom w:val="none" w:sz="0" w:space="0" w:color="auto"/>
        <w:right w:val="none" w:sz="0" w:space="0" w:color="auto"/>
      </w:divBdr>
      <w:divsChild>
        <w:div w:id="10645745">
          <w:marLeft w:val="288"/>
          <w:marRight w:val="0"/>
          <w:marTop w:val="160"/>
          <w:marBottom w:val="0"/>
          <w:divBdr>
            <w:top w:val="none" w:sz="0" w:space="0" w:color="auto"/>
            <w:left w:val="none" w:sz="0" w:space="0" w:color="auto"/>
            <w:bottom w:val="none" w:sz="0" w:space="0" w:color="auto"/>
            <w:right w:val="none" w:sz="0" w:space="0" w:color="auto"/>
          </w:divBdr>
        </w:div>
        <w:div w:id="1647323690">
          <w:marLeft w:val="576"/>
          <w:marRight w:val="0"/>
          <w:marTop w:val="160"/>
          <w:marBottom w:val="0"/>
          <w:divBdr>
            <w:top w:val="none" w:sz="0" w:space="0" w:color="auto"/>
            <w:left w:val="none" w:sz="0" w:space="0" w:color="auto"/>
            <w:bottom w:val="none" w:sz="0" w:space="0" w:color="auto"/>
            <w:right w:val="none" w:sz="0" w:space="0" w:color="auto"/>
          </w:divBdr>
        </w:div>
        <w:div w:id="1789467633">
          <w:marLeft w:val="288"/>
          <w:marRight w:val="0"/>
          <w:marTop w:val="160"/>
          <w:marBottom w:val="0"/>
          <w:divBdr>
            <w:top w:val="none" w:sz="0" w:space="0" w:color="auto"/>
            <w:left w:val="none" w:sz="0" w:space="0" w:color="auto"/>
            <w:bottom w:val="none" w:sz="0" w:space="0" w:color="auto"/>
            <w:right w:val="none" w:sz="0" w:space="0" w:color="auto"/>
          </w:divBdr>
        </w:div>
      </w:divsChild>
    </w:div>
    <w:div w:id="2042587842">
      <w:bodyDiv w:val="1"/>
      <w:marLeft w:val="0"/>
      <w:marRight w:val="0"/>
      <w:marTop w:val="0"/>
      <w:marBottom w:val="0"/>
      <w:divBdr>
        <w:top w:val="none" w:sz="0" w:space="0" w:color="auto"/>
        <w:left w:val="none" w:sz="0" w:space="0" w:color="auto"/>
        <w:bottom w:val="none" w:sz="0" w:space="0" w:color="auto"/>
        <w:right w:val="none" w:sz="0" w:space="0" w:color="auto"/>
      </w:divBdr>
      <w:divsChild>
        <w:div w:id="893590547">
          <w:marLeft w:val="576"/>
          <w:marRight w:val="0"/>
          <w:marTop w:val="160"/>
          <w:marBottom w:val="0"/>
          <w:divBdr>
            <w:top w:val="none" w:sz="0" w:space="0" w:color="auto"/>
            <w:left w:val="none" w:sz="0" w:space="0" w:color="auto"/>
            <w:bottom w:val="none" w:sz="0" w:space="0" w:color="auto"/>
            <w:right w:val="none" w:sz="0" w:space="0" w:color="auto"/>
          </w:divBdr>
        </w:div>
        <w:div w:id="1318610985">
          <w:marLeft w:val="850"/>
          <w:marRight w:val="0"/>
          <w:marTop w:val="160"/>
          <w:marBottom w:val="0"/>
          <w:divBdr>
            <w:top w:val="none" w:sz="0" w:space="0" w:color="auto"/>
            <w:left w:val="none" w:sz="0" w:space="0" w:color="auto"/>
            <w:bottom w:val="none" w:sz="0" w:space="0" w:color="auto"/>
            <w:right w:val="none" w:sz="0" w:space="0" w:color="auto"/>
          </w:divBdr>
        </w:div>
        <w:div w:id="253131798">
          <w:marLeft w:val="576"/>
          <w:marRight w:val="0"/>
          <w:marTop w:val="160"/>
          <w:marBottom w:val="0"/>
          <w:divBdr>
            <w:top w:val="none" w:sz="0" w:space="0" w:color="auto"/>
            <w:left w:val="none" w:sz="0" w:space="0" w:color="auto"/>
            <w:bottom w:val="none" w:sz="0" w:space="0" w:color="auto"/>
            <w:right w:val="none" w:sz="0" w:space="0" w:color="auto"/>
          </w:divBdr>
        </w:div>
        <w:div w:id="1160266032">
          <w:marLeft w:val="850"/>
          <w:marRight w:val="0"/>
          <w:marTop w:val="160"/>
          <w:marBottom w:val="0"/>
          <w:divBdr>
            <w:top w:val="none" w:sz="0" w:space="0" w:color="auto"/>
            <w:left w:val="none" w:sz="0" w:space="0" w:color="auto"/>
            <w:bottom w:val="none" w:sz="0" w:space="0" w:color="auto"/>
            <w:right w:val="none" w:sz="0" w:space="0" w:color="auto"/>
          </w:divBdr>
        </w:div>
      </w:divsChild>
    </w:div>
    <w:div w:id="2064718326">
      <w:bodyDiv w:val="1"/>
      <w:marLeft w:val="0"/>
      <w:marRight w:val="0"/>
      <w:marTop w:val="0"/>
      <w:marBottom w:val="0"/>
      <w:divBdr>
        <w:top w:val="none" w:sz="0" w:space="0" w:color="auto"/>
        <w:left w:val="none" w:sz="0" w:space="0" w:color="auto"/>
        <w:bottom w:val="none" w:sz="0" w:space="0" w:color="auto"/>
        <w:right w:val="none" w:sz="0" w:space="0" w:color="auto"/>
      </w:divBdr>
      <w:divsChild>
        <w:div w:id="936712901">
          <w:marLeft w:val="274"/>
          <w:marRight w:val="0"/>
          <w:marTop w:val="160"/>
          <w:marBottom w:val="0"/>
          <w:divBdr>
            <w:top w:val="none" w:sz="0" w:space="0" w:color="auto"/>
            <w:left w:val="none" w:sz="0" w:space="0" w:color="auto"/>
            <w:bottom w:val="none" w:sz="0" w:space="0" w:color="auto"/>
            <w:right w:val="none" w:sz="0" w:space="0" w:color="auto"/>
          </w:divBdr>
        </w:div>
      </w:divsChild>
    </w:div>
    <w:div w:id="213117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purl.org/dc/dcmitype/"/>
    <ds:schemaRef ds:uri="http://schemas.openxmlformats.org/package/2006/metadata/core-properties"/>
    <ds:schemaRef ds:uri="http://purl.org/dc/elements/1.1/"/>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 ds:uri="http://purl.org/dc/terms/"/>
  </ds:schemaRefs>
</ds:datastoreItem>
</file>

<file path=customXml/itemProps4.xml><?xml version="1.0" encoding="utf-8"?>
<ds:datastoreItem xmlns:ds="http://schemas.openxmlformats.org/officeDocument/2006/customXml" ds:itemID="{B382DD6B-2E7F-4233-90B4-55BD67A31CE9}"/>
</file>

<file path=docProps/app.xml><?xml version="1.0" encoding="utf-8"?>
<Properties xmlns="http://schemas.openxmlformats.org/officeDocument/2006/extended-properties" xmlns:vt="http://schemas.openxmlformats.org/officeDocument/2006/docPropsVTypes">
  <Template>Normal.dotm</Template>
  <TotalTime>336</TotalTime>
  <Pages>3</Pages>
  <Words>1042</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7099</CharactersWithSpaces>
  <SharedDoc>false</SharedDoc>
  <HLinks>
    <vt:vector size="192" baseType="variant">
      <vt:variant>
        <vt:i4>1900607</vt:i4>
      </vt:variant>
      <vt:variant>
        <vt:i4>149</vt:i4>
      </vt:variant>
      <vt:variant>
        <vt:i4>0</vt:i4>
      </vt:variant>
      <vt:variant>
        <vt:i4>5</vt:i4>
      </vt:variant>
      <vt:variant>
        <vt:lpwstr/>
      </vt:variant>
      <vt:variant>
        <vt:lpwstr>_Toc68534584</vt:lpwstr>
      </vt:variant>
      <vt:variant>
        <vt:i4>1703999</vt:i4>
      </vt:variant>
      <vt:variant>
        <vt:i4>146</vt:i4>
      </vt:variant>
      <vt:variant>
        <vt:i4>0</vt:i4>
      </vt:variant>
      <vt:variant>
        <vt:i4>5</vt:i4>
      </vt:variant>
      <vt:variant>
        <vt:lpwstr/>
      </vt:variant>
      <vt:variant>
        <vt:lpwstr>_Toc68534583</vt:lpwstr>
      </vt:variant>
      <vt:variant>
        <vt:i4>1769535</vt:i4>
      </vt:variant>
      <vt:variant>
        <vt:i4>143</vt:i4>
      </vt:variant>
      <vt:variant>
        <vt:i4>0</vt:i4>
      </vt:variant>
      <vt:variant>
        <vt:i4>5</vt:i4>
      </vt:variant>
      <vt:variant>
        <vt:lpwstr/>
      </vt:variant>
      <vt:variant>
        <vt:lpwstr>_Toc68534582</vt:lpwstr>
      </vt:variant>
      <vt:variant>
        <vt:i4>1572927</vt:i4>
      </vt:variant>
      <vt:variant>
        <vt:i4>140</vt:i4>
      </vt:variant>
      <vt:variant>
        <vt:i4>0</vt:i4>
      </vt:variant>
      <vt:variant>
        <vt:i4>5</vt:i4>
      </vt:variant>
      <vt:variant>
        <vt:lpwstr/>
      </vt:variant>
      <vt:variant>
        <vt:lpwstr>_Toc68534581</vt:lpwstr>
      </vt:variant>
      <vt:variant>
        <vt:i4>1638463</vt:i4>
      </vt:variant>
      <vt:variant>
        <vt:i4>137</vt:i4>
      </vt:variant>
      <vt:variant>
        <vt:i4>0</vt:i4>
      </vt:variant>
      <vt:variant>
        <vt:i4>5</vt:i4>
      </vt:variant>
      <vt:variant>
        <vt:lpwstr/>
      </vt:variant>
      <vt:variant>
        <vt:lpwstr>_Toc68534580</vt:lpwstr>
      </vt:variant>
      <vt:variant>
        <vt:i4>1048624</vt:i4>
      </vt:variant>
      <vt:variant>
        <vt:i4>134</vt:i4>
      </vt:variant>
      <vt:variant>
        <vt:i4>0</vt:i4>
      </vt:variant>
      <vt:variant>
        <vt:i4>5</vt:i4>
      </vt:variant>
      <vt:variant>
        <vt:lpwstr/>
      </vt:variant>
      <vt:variant>
        <vt:lpwstr>_Toc68534579</vt:lpwstr>
      </vt:variant>
      <vt:variant>
        <vt:i4>1114160</vt:i4>
      </vt:variant>
      <vt:variant>
        <vt:i4>131</vt:i4>
      </vt:variant>
      <vt:variant>
        <vt:i4>0</vt:i4>
      </vt:variant>
      <vt:variant>
        <vt:i4>5</vt:i4>
      </vt:variant>
      <vt:variant>
        <vt:lpwstr/>
      </vt:variant>
      <vt:variant>
        <vt:lpwstr>_Toc68534578</vt:lpwstr>
      </vt:variant>
      <vt:variant>
        <vt:i4>1966128</vt:i4>
      </vt:variant>
      <vt:variant>
        <vt:i4>128</vt:i4>
      </vt:variant>
      <vt:variant>
        <vt:i4>0</vt:i4>
      </vt:variant>
      <vt:variant>
        <vt:i4>5</vt:i4>
      </vt:variant>
      <vt:variant>
        <vt:lpwstr/>
      </vt:variant>
      <vt:variant>
        <vt:lpwstr>_Toc68534577</vt:lpwstr>
      </vt:variant>
      <vt:variant>
        <vt:i4>2031664</vt:i4>
      </vt:variant>
      <vt:variant>
        <vt:i4>125</vt:i4>
      </vt:variant>
      <vt:variant>
        <vt:i4>0</vt:i4>
      </vt:variant>
      <vt:variant>
        <vt:i4>5</vt:i4>
      </vt:variant>
      <vt:variant>
        <vt:lpwstr/>
      </vt:variant>
      <vt:variant>
        <vt:lpwstr>_Toc68534576</vt:lpwstr>
      </vt:variant>
      <vt:variant>
        <vt:i4>1835056</vt:i4>
      </vt:variant>
      <vt:variant>
        <vt:i4>122</vt:i4>
      </vt:variant>
      <vt:variant>
        <vt:i4>0</vt:i4>
      </vt:variant>
      <vt:variant>
        <vt:i4>5</vt:i4>
      </vt:variant>
      <vt:variant>
        <vt:lpwstr/>
      </vt:variant>
      <vt:variant>
        <vt:lpwstr>_Toc68534575</vt:lpwstr>
      </vt:variant>
      <vt:variant>
        <vt:i4>1900592</vt:i4>
      </vt:variant>
      <vt:variant>
        <vt:i4>119</vt:i4>
      </vt:variant>
      <vt:variant>
        <vt:i4>0</vt:i4>
      </vt:variant>
      <vt:variant>
        <vt:i4>5</vt:i4>
      </vt:variant>
      <vt:variant>
        <vt:lpwstr/>
      </vt:variant>
      <vt:variant>
        <vt:lpwstr>_Toc68534574</vt:lpwstr>
      </vt:variant>
      <vt:variant>
        <vt:i4>1703984</vt:i4>
      </vt:variant>
      <vt:variant>
        <vt:i4>116</vt:i4>
      </vt:variant>
      <vt:variant>
        <vt:i4>0</vt:i4>
      </vt:variant>
      <vt:variant>
        <vt:i4>5</vt:i4>
      </vt:variant>
      <vt:variant>
        <vt:lpwstr/>
      </vt:variant>
      <vt:variant>
        <vt:lpwstr>_Toc68534573</vt:lpwstr>
      </vt:variant>
      <vt:variant>
        <vt:i4>1769520</vt:i4>
      </vt:variant>
      <vt:variant>
        <vt:i4>113</vt:i4>
      </vt:variant>
      <vt:variant>
        <vt:i4>0</vt:i4>
      </vt:variant>
      <vt:variant>
        <vt:i4>5</vt:i4>
      </vt:variant>
      <vt:variant>
        <vt:lpwstr/>
      </vt:variant>
      <vt:variant>
        <vt:lpwstr>_Toc68534572</vt:lpwstr>
      </vt:variant>
      <vt:variant>
        <vt:i4>1572912</vt:i4>
      </vt:variant>
      <vt:variant>
        <vt:i4>110</vt:i4>
      </vt:variant>
      <vt:variant>
        <vt:i4>0</vt:i4>
      </vt:variant>
      <vt:variant>
        <vt:i4>5</vt:i4>
      </vt:variant>
      <vt:variant>
        <vt:lpwstr/>
      </vt:variant>
      <vt:variant>
        <vt:lpwstr>_Toc68534571</vt:lpwstr>
      </vt:variant>
      <vt:variant>
        <vt:i4>1638448</vt:i4>
      </vt:variant>
      <vt:variant>
        <vt:i4>107</vt:i4>
      </vt:variant>
      <vt:variant>
        <vt:i4>0</vt:i4>
      </vt:variant>
      <vt:variant>
        <vt:i4>5</vt:i4>
      </vt:variant>
      <vt:variant>
        <vt:lpwstr/>
      </vt:variant>
      <vt:variant>
        <vt:lpwstr>_Toc68534570</vt:lpwstr>
      </vt:variant>
      <vt:variant>
        <vt:i4>1048625</vt:i4>
      </vt:variant>
      <vt:variant>
        <vt:i4>104</vt:i4>
      </vt:variant>
      <vt:variant>
        <vt:i4>0</vt:i4>
      </vt:variant>
      <vt:variant>
        <vt:i4>5</vt:i4>
      </vt:variant>
      <vt:variant>
        <vt:lpwstr/>
      </vt:variant>
      <vt:variant>
        <vt:lpwstr>_Toc68534569</vt:lpwstr>
      </vt:variant>
      <vt:variant>
        <vt:i4>1114161</vt:i4>
      </vt:variant>
      <vt:variant>
        <vt:i4>101</vt:i4>
      </vt:variant>
      <vt:variant>
        <vt:i4>0</vt:i4>
      </vt:variant>
      <vt:variant>
        <vt:i4>5</vt:i4>
      </vt:variant>
      <vt:variant>
        <vt:lpwstr/>
      </vt:variant>
      <vt:variant>
        <vt:lpwstr>_Toc68534568</vt:lpwstr>
      </vt:variant>
      <vt:variant>
        <vt:i4>1966129</vt:i4>
      </vt:variant>
      <vt:variant>
        <vt:i4>95</vt:i4>
      </vt:variant>
      <vt:variant>
        <vt:i4>0</vt:i4>
      </vt:variant>
      <vt:variant>
        <vt:i4>5</vt:i4>
      </vt:variant>
      <vt:variant>
        <vt:lpwstr/>
      </vt:variant>
      <vt:variant>
        <vt:lpwstr>_Toc68534567</vt:lpwstr>
      </vt:variant>
      <vt:variant>
        <vt:i4>2031665</vt:i4>
      </vt:variant>
      <vt:variant>
        <vt:i4>92</vt:i4>
      </vt:variant>
      <vt:variant>
        <vt:i4>0</vt:i4>
      </vt:variant>
      <vt:variant>
        <vt:i4>5</vt:i4>
      </vt:variant>
      <vt:variant>
        <vt:lpwstr/>
      </vt:variant>
      <vt:variant>
        <vt:lpwstr>_Toc68534566</vt:lpwstr>
      </vt:variant>
      <vt:variant>
        <vt:i4>1835057</vt:i4>
      </vt:variant>
      <vt:variant>
        <vt:i4>89</vt:i4>
      </vt:variant>
      <vt:variant>
        <vt:i4>0</vt:i4>
      </vt:variant>
      <vt:variant>
        <vt:i4>5</vt:i4>
      </vt:variant>
      <vt:variant>
        <vt:lpwstr/>
      </vt:variant>
      <vt:variant>
        <vt:lpwstr>_Toc68534565</vt:lpwstr>
      </vt:variant>
      <vt:variant>
        <vt:i4>1900593</vt:i4>
      </vt:variant>
      <vt:variant>
        <vt:i4>86</vt:i4>
      </vt:variant>
      <vt:variant>
        <vt:i4>0</vt:i4>
      </vt:variant>
      <vt:variant>
        <vt:i4>5</vt:i4>
      </vt:variant>
      <vt:variant>
        <vt:lpwstr/>
      </vt:variant>
      <vt:variant>
        <vt:lpwstr>_Toc68534564</vt:lpwstr>
      </vt:variant>
      <vt:variant>
        <vt:i4>1703985</vt:i4>
      </vt:variant>
      <vt:variant>
        <vt:i4>83</vt:i4>
      </vt:variant>
      <vt:variant>
        <vt:i4>0</vt:i4>
      </vt:variant>
      <vt:variant>
        <vt:i4>5</vt:i4>
      </vt:variant>
      <vt:variant>
        <vt:lpwstr/>
      </vt:variant>
      <vt:variant>
        <vt:lpwstr>_Toc68534563</vt:lpwstr>
      </vt:variant>
      <vt:variant>
        <vt:i4>1769521</vt:i4>
      </vt:variant>
      <vt:variant>
        <vt:i4>80</vt:i4>
      </vt:variant>
      <vt:variant>
        <vt:i4>0</vt:i4>
      </vt:variant>
      <vt:variant>
        <vt:i4>5</vt:i4>
      </vt:variant>
      <vt:variant>
        <vt:lpwstr/>
      </vt:variant>
      <vt:variant>
        <vt:lpwstr>_Toc68534562</vt:lpwstr>
      </vt:variant>
      <vt:variant>
        <vt:i4>1572913</vt:i4>
      </vt:variant>
      <vt:variant>
        <vt:i4>77</vt:i4>
      </vt:variant>
      <vt:variant>
        <vt:i4>0</vt:i4>
      </vt:variant>
      <vt:variant>
        <vt:i4>5</vt:i4>
      </vt:variant>
      <vt:variant>
        <vt:lpwstr/>
      </vt:variant>
      <vt:variant>
        <vt:lpwstr>_Toc68534561</vt:lpwstr>
      </vt:variant>
      <vt:variant>
        <vt:i4>1638449</vt:i4>
      </vt:variant>
      <vt:variant>
        <vt:i4>74</vt:i4>
      </vt:variant>
      <vt:variant>
        <vt:i4>0</vt:i4>
      </vt:variant>
      <vt:variant>
        <vt:i4>5</vt:i4>
      </vt:variant>
      <vt:variant>
        <vt:lpwstr/>
      </vt:variant>
      <vt:variant>
        <vt:lpwstr>_Toc68534560</vt:lpwstr>
      </vt:variant>
      <vt:variant>
        <vt:i4>1048626</vt:i4>
      </vt:variant>
      <vt:variant>
        <vt:i4>71</vt:i4>
      </vt:variant>
      <vt:variant>
        <vt:i4>0</vt:i4>
      </vt:variant>
      <vt:variant>
        <vt:i4>5</vt:i4>
      </vt:variant>
      <vt:variant>
        <vt:lpwstr/>
      </vt:variant>
      <vt:variant>
        <vt:lpwstr>_Toc68534559</vt:lpwstr>
      </vt:variant>
      <vt:variant>
        <vt:i4>1114162</vt:i4>
      </vt:variant>
      <vt:variant>
        <vt:i4>68</vt:i4>
      </vt:variant>
      <vt:variant>
        <vt:i4>0</vt:i4>
      </vt:variant>
      <vt:variant>
        <vt:i4>5</vt:i4>
      </vt:variant>
      <vt:variant>
        <vt:lpwstr/>
      </vt:variant>
      <vt:variant>
        <vt:lpwstr>_Toc68534558</vt:lpwstr>
      </vt:variant>
      <vt:variant>
        <vt:i4>1966130</vt:i4>
      </vt:variant>
      <vt:variant>
        <vt:i4>65</vt:i4>
      </vt:variant>
      <vt:variant>
        <vt:i4>0</vt:i4>
      </vt:variant>
      <vt:variant>
        <vt:i4>5</vt:i4>
      </vt:variant>
      <vt:variant>
        <vt:lpwstr/>
      </vt:variant>
      <vt:variant>
        <vt:lpwstr>_Toc68534557</vt:lpwstr>
      </vt:variant>
      <vt:variant>
        <vt:i4>2031666</vt:i4>
      </vt:variant>
      <vt:variant>
        <vt:i4>62</vt:i4>
      </vt:variant>
      <vt:variant>
        <vt:i4>0</vt:i4>
      </vt:variant>
      <vt:variant>
        <vt:i4>5</vt:i4>
      </vt:variant>
      <vt:variant>
        <vt:lpwstr/>
      </vt:variant>
      <vt:variant>
        <vt:lpwstr>_Toc68534556</vt:lpwstr>
      </vt:variant>
      <vt:variant>
        <vt:i4>1835058</vt:i4>
      </vt:variant>
      <vt:variant>
        <vt:i4>59</vt:i4>
      </vt:variant>
      <vt:variant>
        <vt:i4>0</vt:i4>
      </vt:variant>
      <vt:variant>
        <vt:i4>5</vt:i4>
      </vt:variant>
      <vt:variant>
        <vt:lpwstr/>
      </vt:variant>
      <vt:variant>
        <vt:lpwstr>_Toc68534555</vt:lpwstr>
      </vt:variant>
      <vt:variant>
        <vt:i4>1900594</vt:i4>
      </vt:variant>
      <vt:variant>
        <vt:i4>56</vt:i4>
      </vt:variant>
      <vt:variant>
        <vt:i4>0</vt:i4>
      </vt:variant>
      <vt:variant>
        <vt:i4>5</vt:i4>
      </vt:variant>
      <vt:variant>
        <vt:lpwstr/>
      </vt:variant>
      <vt:variant>
        <vt:lpwstr>_Toc68534554</vt:lpwstr>
      </vt:variant>
      <vt:variant>
        <vt:i4>1703986</vt:i4>
      </vt:variant>
      <vt:variant>
        <vt:i4>53</vt:i4>
      </vt:variant>
      <vt:variant>
        <vt:i4>0</vt:i4>
      </vt:variant>
      <vt:variant>
        <vt:i4>5</vt:i4>
      </vt:variant>
      <vt:variant>
        <vt:lpwstr/>
      </vt:variant>
      <vt:variant>
        <vt:lpwstr>_Toc68534553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36</cp:revision>
  <cp:lastPrinted>2008-01-31T07:09:00Z</cp:lastPrinted>
  <dcterms:created xsi:type="dcterms:W3CDTF">2021-12-03T15:35:00Z</dcterms:created>
  <dcterms:modified xsi:type="dcterms:W3CDTF">2022-02-14T19:53:00Z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830b8557-d900-4dbc-b1ff-d684741ff6ee</vt:lpwstr>
  </property>
  <property fmtid="{D5CDD505-2E9C-101B-9397-08002B2CF9AE}" pid="13" name="EriCOLLProjects">
    <vt:lpwstr/>
  </property>
</Properties>
</file>